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74421">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rPr>
        <w:t>SiDoTek™</w:t>
      </w:r>
      <w:r>
        <w:rPr>
          <w:rFonts w:hint="default" w:ascii="Times New Roman" w:hAnsi="Times New Roman" w:cs="Times New Roman" w:eastAsiaTheme="minorEastAsia"/>
          <w:b/>
          <w:bCs/>
          <w:sz w:val="32"/>
          <w:szCs w:val="32"/>
          <w:lang w:eastAsia="zh-CN"/>
        </w:rPr>
        <w:t xml:space="preserve"> 小鼠胚胎干细胞无血清培养基Ⅱ型（无饲养层）</w:t>
      </w:r>
    </w:p>
    <w:p w14:paraId="133A9AE9">
      <w:pPr>
        <w:tabs>
          <w:tab w:val="left" w:pos="2496"/>
        </w:tabs>
        <w:spacing w:line="360" w:lineRule="auto"/>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eastAsiaTheme="minorEastAsia"/>
          <w:b/>
          <w:bCs/>
          <w:sz w:val="32"/>
          <w:szCs w:val="32"/>
          <w:lang w:eastAsia="zh-CN"/>
        </w:rPr>
        <w:t>产品货号：</w:t>
      </w:r>
      <w:bookmarkStart w:id="0" w:name="_GoBack"/>
      <w:r>
        <w:rPr>
          <w:rFonts w:hint="default" w:ascii="Times New Roman" w:hAnsi="Times New Roman" w:cs="Times New Roman" w:eastAsiaTheme="minorEastAsia"/>
          <w:b/>
          <w:bCs/>
          <w:sz w:val="32"/>
          <w:szCs w:val="32"/>
          <w:lang w:eastAsia="zh-CN"/>
        </w:rPr>
        <w:t>ESC200</w:t>
      </w:r>
      <w:r>
        <w:rPr>
          <w:rFonts w:hint="eastAsia" w:ascii="Times New Roman" w:hAnsi="Times New Roman" w:cs="Times New Roman" w:eastAsiaTheme="minorEastAsia"/>
          <w:b/>
          <w:bCs/>
          <w:sz w:val="32"/>
          <w:szCs w:val="32"/>
          <w:lang w:val="en-US" w:eastAsia="zh-CN"/>
        </w:rPr>
        <w:t>3</w:t>
      </w:r>
      <w:bookmarkEnd w:id="0"/>
    </w:p>
    <w:p w14:paraId="340E9932">
      <w:pPr>
        <w:tabs>
          <w:tab w:val="left" w:pos="2496"/>
        </w:tabs>
        <w:spacing w:line="360" w:lineRule="auto"/>
        <w:rPr>
          <w:rFonts w:hint="default" w:ascii="Times New Roman" w:hAnsi="Times New Roman" w:cs="Times New Roman" w:eastAsiaTheme="minorEastAsia"/>
          <w:sz w:val="21"/>
          <w:szCs w:val="21"/>
          <w:lang w:eastAsia="zh-CN"/>
        </w:rPr>
      </w:pPr>
    </w:p>
    <w:p w14:paraId="0AB106D6">
      <w:pPr>
        <w:tabs>
          <w:tab w:val="left" w:pos="2496"/>
        </w:tabs>
        <w:spacing w:line="360" w:lineRule="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产品介绍</w:t>
      </w:r>
    </w:p>
    <w:p w14:paraId="1A9DB9CC">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由SiDoTek™研发团队精心优化的SiDoTek™小鼠胚胎干细胞无血清培养基Ⅱ型（无饲养层），包括小鼠胚胎干细胞Ⅱ型无血清基础培养基、经筛选配比的无血清添加物及其他辅助成分。该产品适用于小鼠胚胎干细胞的无血清无饲养层的培养；可维持小鼠胚胎干细胞在无血清无饲养层的生长环境下良好的增殖特性及高度未分化全能性，并保持正确的核型。</w:t>
      </w:r>
    </w:p>
    <w:p w14:paraId="6FD2F297">
      <w:pPr>
        <w:tabs>
          <w:tab w:val="left" w:pos="2496"/>
        </w:tabs>
        <w:spacing w:line="360" w:lineRule="auto"/>
        <w:ind w:firstLine="422" w:firstLineChars="200"/>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注意：本产品仅提供给进一步科研使用，不可用于临床治疗等其他用途。</w:t>
      </w:r>
    </w:p>
    <w:p w14:paraId="2201C1E3">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p>
    <w:p w14:paraId="2FAB3E78">
      <w:pPr>
        <w:tabs>
          <w:tab w:val="left" w:pos="2496"/>
        </w:tabs>
        <w:spacing w:line="360" w:lineRule="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val="en-US" w:eastAsia="zh-CN"/>
        </w:rPr>
        <w:t>套装</w:t>
      </w:r>
      <w:r>
        <w:rPr>
          <w:rFonts w:hint="default" w:ascii="Times New Roman" w:hAnsi="Times New Roman" w:cs="Times New Roman" w:eastAsiaTheme="minorEastAsia"/>
          <w:b/>
          <w:bCs/>
          <w:sz w:val="21"/>
          <w:szCs w:val="21"/>
          <w:lang w:eastAsia="zh-CN"/>
        </w:rPr>
        <w:t>成分</w:t>
      </w:r>
    </w:p>
    <w:tbl>
      <w:tblPr>
        <w:tblStyle w:val="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0"/>
        <w:gridCol w:w="2202"/>
        <w:gridCol w:w="1307"/>
        <w:gridCol w:w="1332"/>
      </w:tblGrid>
      <w:tr w14:paraId="3E0C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0" w:type="dxa"/>
          </w:tcPr>
          <w:p w14:paraId="4665A447">
            <w:pPr>
              <w:tabs>
                <w:tab w:val="left" w:pos="2496"/>
              </w:tabs>
              <w:spacing w:line="360" w:lineRule="auto"/>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套装成分</w:t>
            </w:r>
          </w:p>
        </w:tc>
        <w:tc>
          <w:tcPr>
            <w:tcW w:w="2202" w:type="dxa"/>
          </w:tcPr>
          <w:p w14:paraId="52B5E903">
            <w:pPr>
              <w:tabs>
                <w:tab w:val="left" w:pos="2496"/>
              </w:tabs>
              <w:spacing w:line="360" w:lineRule="auto"/>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货号</w:t>
            </w:r>
          </w:p>
        </w:tc>
        <w:tc>
          <w:tcPr>
            <w:tcW w:w="1307" w:type="dxa"/>
            <w:vAlign w:val="top"/>
          </w:tcPr>
          <w:p w14:paraId="389B7661">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kern w:val="2"/>
                <w:sz w:val="21"/>
                <w:szCs w:val="21"/>
                <w:vertAlign w:val="baseline"/>
                <w:lang w:val="en-US" w:eastAsia="zh-CN" w:bidi="ar-SA"/>
              </w:rPr>
            </w:pPr>
            <w:r>
              <w:rPr>
                <w:rFonts w:hint="default" w:ascii="Times New Roman" w:hAnsi="Times New Roman" w:cs="Times New Roman" w:eastAsiaTheme="minorEastAsia"/>
                <w:b/>
                <w:bCs/>
                <w:kern w:val="2"/>
                <w:sz w:val="21"/>
                <w:szCs w:val="21"/>
                <w:vertAlign w:val="baseline"/>
                <w:lang w:val="en-US" w:eastAsia="zh-CN" w:bidi="ar-SA"/>
              </w:rPr>
              <w:t>500 mL/Kit</w:t>
            </w:r>
          </w:p>
        </w:tc>
        <w:tc>
          <w:tcPr>
            <w:tcW w:w="1332" w:type="dxa"/>
            <w:vAlign w:val="top"/>
          </w:tcPr>
          <w:p w14:paraId="52E02DAD">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kern w:val="2"/>
                <w:sz w:val="21"/>
                <w:szCs w:val="21"/>
                <w:vertAlign w:val="baseline"/>
                <w:lang w:val="en-US" w:eastAsia="zh-CN" w:bidi="ar-SA"/>
              </w:rPr>
            </w:pPr>
            <w:r>
              <w:rPr>
                <w:rFonts w:hint="default" w:ascii="Times New Roman" w:hAnsi="Times New Roman" w:cs="Times New Roman" w:eastAsiaTheme="minorEastAsia"/>
                <w:b/>
                <w:bCs/>
                <w:kern w:val="2"/>
                <w:sz w:val="21"/>
                <w:szCs w:val="21"/>
                <w:vertAlign w:val="baseline"/>
                <w:lang w:val="en-US" w:eastAsia="zh-CN" w:bidi="ar-SA"/>
              </w:rPr>
              <w:t>200 mL/Kit</w:t>
            </w:r>
          </w:p>
        </w:tc>
      </w:tr>
      <w:tr w14:paraId="7798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0" w:type="dxa"/>
          </w:tcPr>
          <w:p w14:paraId="23221137">
            <w:pPr>
              <w:tabs>
                <w:tab w:val="left" w:pos="2496"/>
              </w:tabs>
              <w:spacing w:line="360" w:lineRule="auto"/>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rPr>
              <w:t>SiDoTek™</w:t>
            </w:r>
            <w:r>
              <w:rPr>
                <w:rFonts w:hint="default" w:ascii="Times New Roman" w:hAnsi="Times New Roman" w:cs="Times New Roman" w:eastAsiaTheme="minorEastAsia"/>
                <w:b w:val="0"/>
                <w:bCs w:val="0"/>
                <w:sz w:val="21"/>
                <w:szCs w:val="21"/>
                <w:lang w:val="en-US" w:eastAsia="zh-CN"/>
              </w:rPr>
              <w:t xml:space="preserve"> </w:t>
            </w:r>
            <w:r>
              <w:rPr>
                <w:rFonts w:hint="default" w:ascii="Times New Roman" w:hAnsi="Times New Roman" w:cs="Times New Roman" w:eastAsiaTheme="minorEastAsia"/>
                <w:b w:val="0"/>
                <w:bCs w:val="0"/>
                <w:color w:val="000000"/>
                <w:sz w:val="21"/>
                <w:szCs w:val="21"/>
                <w:lang w:eastAsia="zh-CN"/>
              </w:rPr>
              <w:t>细胞基础培养基</w:t>
            </w:r>
          </w:p>
          <w:p w14:paraId="23A72290">
            <w:pPr>
              <w:tabs>
                <w:tab w:val="left" w:pos="2496"/>
              </w:tabs>
              <w:spacing w:line="360" w:lineRule="auto"/>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rPr>
              <w:t>SiDoTek™</w:t>
            </w:r>
            <w:r>
              <w:rPr>
                <w:rFonts w:hint="default" w:ascii="Times New Roman" w:hAnsi="Times New Roman" w:cs="Times New Roman" w:eastAsiaTheme="minorEastAsia"/>
                <w:b w:val="0"/>
                <w:bCs w:val="0"/>
                <w:sz w:val="21"/>
                <w:szCs w:val="21"/>
                <w:lang w:val="en-US" w:eastAsia="zh-CN"/>
              </w:rPr>
              <w:t xml:space="preserve"> </w:t>
            </w:r>
            <w:r>
              <w:rPr>
                <w:rFonts w:hint="default" w:ascii="Times New Roman" w:hAnsi="Times New Roman" w:cs="Times New Roman" w:eastAsiaTheme="minorEastAsia"/>
                <w:b w:val="0"/>
                <w:bCs w:val="0"/>
                <w:color w:val="000000"/>
                <w:sz w:val="21"/>
                <w:szCs w:val="21"/>
                <w:lang w:eastAsia="zh-CN"/>
              </w:rPr>
              <w:t>Basal Medium For Cell Culture</w:t>
            </w:r>
          </w:p>
        </w:tc>
        <w:tc>
          <w:tcPr>
            <w:tcW w:w="2202" w:type="dxa"/>
            <w:vAlign w:val="top"/>
          </w:tcPr>
          <w:p w14:paraId="3CEBE8E7">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SD-BKOD-03011</w:t>
            </w:r>
          </w:p>
        </w:tc>
        <w:tc>
          <w:tcPr>
            <w:tcW w:w="1307" w:type="dxa"/>
            <w:vAlign w:val="top"/>
          </w:tcPr>
          <w:p w14:paraId="557750FE">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480 mL</w:t>
            </w:r>
          </w:p>
        </w:tc>
        <w:tc>
          <w:tcPr>
            <w:tcW w:w="1332" w:type="dxa"/>
            <w:vAlign w:val="top"/>
          </w:tcPr>
          <w:p w14:paraId="2DE3F87D">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192 mL</w:t>
            </w:r>
          </w:p>
        </w:tc>
      </w:tr>
      <w:tr w14:paraId="6C9A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0" w:type="dxa"/>
          </w:tcPr>
          <w:p w14:paraId="2724FF46">
            <w:pPr>
              <w:tabs>
                <w:tab w:val="left" w:pos="2496"/>
              </w:tabs>
              <w:spacing w:line="360" w:lineRule="auto"/>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rPr>
              <w:t>SiDoTek™</w:t>
            </w:r>
            <w:r>
              <w:rPr>
                <w:rFonts w:hint="default" w:ascii="Times New Roman" w:hAnsi="Times New Roman" w:cs="Times New Roman" w:eastAsiaTheme="minorEastAsia"/>
                <w:b w:val="0"/>
                <w:bCs w:val="0"/>
                <w:sz w:val="21"/>
                <w:szCs w:val="21"/>
                <w:lang w:val="en-US" w:eastAsia="zh-CN"/>
              </w:rPr>
              <w:t xml:space="preserve"> 小鼠胚胎干细胞培养添加物1</w:t>
            </w:r>
          </w:p>
          <w:p w14:paraId="575C4F37">
            <w:pPr>
              <w:tabs>
                <w:tab w:val="left" w:pos="2496"/>
              </w:tabs>
              <w:spacing w:line="360" w:lineRule="auto"/>
              <w:rPr>
                <w:rFonts w:hint="default" w:ascii="Times New Roman" w:hAnsi="Times New Roman" w:cs="Times New Roman" w:eastAsiaTheme="minorEastAsia"/>
                <w:b w:val="0"/>
                <w:bCs w:val="0"/>
                <w:sz w:val="21"/>
                <w:szCs w:val="21"/>
                <w:vertAlign w:val="baseline"/>
                <w:lang w:eastAsia="zh-CN"/>
              </w:rPr>
            </w:pPr>
            <w:r>
              <w:rPr>
                <w:rFonts w:hint="default" w:ascii="Times New Roman" w:hAnsi="Times New Roman" w:cs="Times New Roman" w:eastAsiaTheme="minorEastAsia"/>
                <w:b w:val="0"/>
                <w:bCs w:val="0"/>
                <w:sz w:val="21"/>
                <w:szCs w:val="21"/>
              </w:rPr>
              <w:t>SiDoTek™</w:t>
            </w:r>
            <w:r>
              <w:rPr>
                <w:rFonts w:hint="default" w:ascii="Times New Roman" w:hAnsi="Times New Roman" w:cs="Times New Roman" w:eastAsiaTheme="minorEastAsia"/>
                <w:b w:val="0"/>
                <w:bCs w:val="0"/>
                <w:sz w:val="21"/>
                <w:szCs w:val="21"/>
                <w:lang w:val="en-US" w:eastAsia="zh-CN"/>
              </w:rPr>
              <w:t xml:space="preserve"> Culture Supplement（For Mouse Embryonic Stem Cell Serum Free Culture -1）</w:t>
            </w:r>
          </w:p>
        </w:tc>
        <w:tc>
          <w:tcPr>
            <w:tcW w:w="2202" w:type="dxa"/>
            <w:vAlign w:val="top"/>
          </w:tcPr>
          <w:p w14:paraId="1F260311">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SD-MUXES-04061-1</w:t>
            </w:r>
          </w:p>
        </w:tc>
        <w:tc>
          <w:tcPr>
            <w:tcW w:w="1307" w:type="dxa"/>
            <w:vAlign w:val="top"/>
          </w:tcPr>
          <w:p w14:paraId="787DBA2B">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5 mL</w:t>
            </w:r>
          </w:p>
        </w:tc>
        <w:tc>
          <w:tcPr>
            <w:tcW w:w="1332" w:type="dxa"/>
            <w:vAlign w:val="top"/>
          </w:tcPr>
          <w:p w14:paraId="6A85DBE7">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2 mL</w:t>
            </w:r>
          </w:p>
        </w:tc>
      </w:tr>
      <w:tr w14:paraId="530B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0" w:type="dxa"/>
          </w:tcPr>
          <w:p w14:paraId="0482F4A4">
            <w:pPr>
              <w:tabs>
                <w:tab w:val="left" w:pos="2496"/>
              </w:tabs>
              <w:spacing w:line="360" w:lineRule="auto"/>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rPr>
              <w:t>SiDoTek™</w:t>
            </w:r>
            <w:r>
              <w:rPr>
                <w:rFonts w:hint="default" w:ascii="Times New Roman" w:hAnsi="Times New Roman" w:cs="Times New Roman" w:eastAsiaTheme="minorEastAsia"/>
                <w:b w:val="0"/>
                <w:bCs w:val="0"/>
                <w:sz w:val="21"/>
                <w:szCs w:val="21"/>
                <w:lang w:val="en-US" w:eastAsia="zh-CN"/>
              </w:rPr>
              <w:t xml:space="preserve"> 小鼠胚胎干细胞培养添加物2</w:t>
            </w:r>
          </w:p>
          <w:p w14:paraId="2F107B9D">
            <w:pPr>
              <w:tabs>
                <w:tab w:val="left" w:pos="2496"/>
              </w:tabs>
              <w:spacing w:line="360" w:lineRule="auto"/>
              <w:jc w:val="left"/>
              <w:rPr>
                <w:rFonts w:hint="default" w:ascii="Times New Roman" w:hAnsi="Times New Roman" w:cs="Times New Roman" w:eastAsiaTheme="minorEastAsia"/>
                <w:b w:val="0"/>
                <w:bCs w:val="0"/>
                <w:sz w:val="21"/>
                <w:szCs w:val="21"/>
                <w:vertAlign w:val="baseline"/>
                <w:lang w:eastAsia="zh-CN"/>
              </w:rPr>
            </w:pPr>
            <w:r>
              <w:rPr>
                <w:rFonts w:hint="default" w:ascii="Times New Roman" w:hAnsi="Times New Roman" w:cs="Times New Roman" w:eastAsiaTheme="minorEastAsia"/>
                <w:b w:val="0"/>
                <w:bCs w:val="0"/>
                <w:sz w:val="21"/>
                <w:szCs w:val="21"/>
              </w:rPr>
              <w:t>SiDoTek™</w:t>
            </w:r>
            <w:r>
              <w:rPr>
                <w:rFonts w:hint="default" w:ascii="Times New Roman" w:hAnsi="Times New Roman" w:cs="Times New Roman" w:eastAsiaTheme="minorEastAsia"/>
                <w:b w:val="0"/>
                <w:bCs w:val="0"/>
                <w:sz w:val="21"/>
                <w:szCs w:val="21"/>
                <w:lang w:val="en-US" w:eastAsia="zh-CN"/>
              </w:rPr>
              <w:t xml:space="preserve"> Culture Supplement（For Mouse Embryonic Stem Cell Serum Free Culture -2）</w:t>
            </w:r>
          </w:p>
        </w:tc>
        <w:tc>
          <w:tcPr>
            <w:tcW w:w="2202" w:type="dxa"/>
            <w:vAlign w:val="top"/>
          </w:tcPr>
          <w:p w14:paraId="3C373802">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SD-MUXES-04061-2</w:t>
            </w:r>
          </w:p>
        </w:tc>
        <w:tc>
          <w:tcPr>
            <w:tcW w:w="1307" w:type="dxa"/>
            <w:vAlign w:val="top"/>
          </w:tcPr>
          <w:p w14:paraId="0FB10537">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15 mL</w:t>
            </w:r>
          </w:p>
        </w:tc>
        <w:tc>
          <w:tcPr>
            <w:tcW w:w="1332" w:type="dxa"/>
            <w:vAlign w:val="top"/>
          </w:tcPr>
          <w:p w14:paraId="7BB40196">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6 mL</w:t>
            </w:r>
          </w:p>
        </w:tc>
      </w:tr>
    </w:tbl>
    <w:p w14:paraId="0FD5AC9C">
      <w:pPr>
        <w:tabs>
          <w:tab w:val="left" w:pos="2496"/>
        </w:tabs>
        <w:spacing w:line="360" w:lineRule="auto"/>
        <w:rPr>
          <w:rFonts w:hint="default" w:ascii="Times New Roman" w:hAnsi="Times New Roman" w:cs="Times New Roman" w:eastAsiaTheme="minorEastAsia"/>
          <w:sz w:val="21"/>
          <w:szCs w:val="21"/>
          <w:lang w:val="en-US" w:eastAsia="zh-CN"/>
        </w:rPr>
      </w:pPr>
    </w:p>
    <w:p w14:paraId="5D52B75B">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质量控制</w:t>
      </w:r>
    </w:p>
    <w:p w14:paraId="1A61F6EF">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通过细菌、真菌、支原体、内毒素检测。</w:t>
      </w:r>
    </w:p>
    <w:p w14:paraId="001C1B30">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通过渗透压、pH检测。</w:t>
      </w:r>
    </w:p>
    <w:p w14:paraId="786C85C0">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通过产品性能检测。</w:t>
      </w:r>
    </w:p>
    <w:p w14:paraId="5027ABE0">
      <w:pPr>
        <w:numPr>
          <w:ilvl w:val="0"/>
          <w:numId w:val="0"/>
        </w:numPr>
        <w:tabs>
          <w:tab w:val="left" w:pos="2496"/>
        </w:tabs>
        <w:spacing w:line="360" w:lineRule="auto"/>
        <w:rPr>
          <w:rFonts w:hint="default" w:ascii="Times New Roman" w:hAnsi="Times New Roman" w:cs="Times New Roman" w:eastAsiaTheme="minorEastAsia"/>
          <w:sz w:val="21"/>
          <w:szCs w:val="21"/>
          <w:lang w:val="en-US" w:eastAsia="zh-CN"/>
        </w:rPr>
      </w:pPr>
    </w:p>
    <w:p w14:paraId="12DCF36F">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处理原则</w:t>
      </w:r>
    </w:p>
    <w:p w14:paraId="1C8ABF21">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严格的无菌环境。务必保证实验室整体和操作区域的清洁。</w:t>
      </w:r>
    </w:p>
    <w:p w14:paraId="72CC7B41">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规范的操作方式。请按照产品说明书描述的方式操作，严格控制变量，做好对照实验。</w:t>
      </w:r>
    </w:p>
    <w:p w14:paraId="16225F7C">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各成分需按照保存条件妥善存放，并尽快使用。</w:t>
      </w:r>
    </w:p>
    <w:p w14:paraId="47139F76">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若短期内无法用完整套培养基，应按套装内各成分体积比例分批配制并分装保存。</w:t>
      </w:r>
    </w:p>
    <w:p w14:paraId="7A92217D">
      <w:pPr>
        <w:numPr>
          <w:ilvl w:val="0"/>
          <w:numId w:val="0"/>
        </w:numPr>
        <w:tabs>
          <w:tab w:val="left" w:pos="2496"/>
        </w:tabs>
        <w:spacing w:line="360" w:lineRule="auto"/>
        <w:rPr>
          <w:rFonts w:hint="default" w:ascii="Times New Roman" w:hAnsi="Times New Roman" w:cs="Times New Roman" w:eastAsiaTheme="minorEastAsia"/>
          <w:sz w:val="21"/>
          <w:szCs w:val="21"/>
          <w:lang w:val="en-US" w:eastAsia="zh-CN"/>
        </w:rPr>
      </w:pPr>
    </w:p>
    <w:p w14:paraId="713DAE4E">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产品稳定性及保存条件</w:t>
      </w:r>
    </w:p>
    <w:p w14:paraId="097891E3">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套装内所有成分均需避光保存。</w:t>
      </w:r>
    </w:p>
    <w:p w14:paraId="442787B4">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套装内基础培养基需置于4℃冰箱保存，保质期为1年；其他成分需置于-20℃保存，保质期为2年。</w:t>
      </w:r>
    </w:p>
    <w:p w14:paraId="47DBAEDC">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配制后的完全培养基，需放置4℃保存，保质期为1个月；若能保证培养条件稳定，容器密封性能良好，避免冷热交替，则保质期可适当延长，但不得超过45天。</w:t>
      </w:r>
    </w:p>
    <w:p w14:paraId="7319A115">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所有产品请于保质期内使用；过期的成分可能严重影响培养效果。</w:t>
      </w:r>
    </w:p>
    <w:p w14:paraId="28E11BAE">
      <w:pPr>
        <w:tabs>
          <w:tab w:val="left" w:pos="2496"/>
        </w:tabs>
        <w:spacing w:line="360" w:lineRule="auto"/>
        <w:rPr>
          <w:rFonts w:hint="default" w:ascii="Times New Roman" w:hAnsi="Times New Roman" w:cs="Times New Roman" w:eastAsiaTheme="minorEastAsia"/>
          <w:sz w:val="21"/>
          <w:szCs w:val="21"/>
          <w:lang w:val="en-US" w:eastAsia="zh-CN"/>
        </w:rPr>
      </w:pPr>
    </w:p>
    <w:p w14:paraId="4D6F7525">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完全培养基的配制</w:t>
      </w:r>
    </w:p>
    <w:p w14:paraId="2B42E61D">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0971FD28">
      <w:pPr>
        <w:numPr>
          <w:ilvl w:val="0"/>
          <w:numId w:val="4"/>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SiDoTek™小鼠胚胎干细胞无血清培养基Ⅱ型（无饲养层）套装</w:t>
      </w:r>
    </w:p>
    <w:p w14:paraId="477A943A">
      <w:pPr>
        <w:numPr>
          <w:ilvl w:val="0"/>
          <w:numId w:val="4"/>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清洁、无菌、质量稳定的一次性耗材（移液管、移液器吸头、离心管等）</w:t>
      </w:r>
    </w:p>
    <w:p w14:paraId="27B4BC47">
      <w:pPr>
        <w:numPr>
          <w:ilvl w:val="0"/>
          <w:numId w:val="4"/>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洁净的封口膜、铝箔纸等避光材料</w:t>
      </w:r>
    </w:p>
    <w:p w14:paraId="5553C048">
      <w:pPr>
        <w:numPr>
          <w:ilvl w:val="0"/>
          <w:numId w:val="5"/>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操作步骤</w:t>
      </w:r>
    </w:p>
    <w:p w14:paraId="148C44A7">
      <w:pPr>
        <w:numPr>
          <w:ilvl w:val="0"/>
          <w:numId w:val="6"/>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配制前至少1 h，将套装中的2种SiDoTek™培养添加物放置于4℃冰箱内完全融化。</w:t>
      </w:r>
    </w:p>
    <w:p w14:paraId="1D660ABE">
      <w:pPr>
        <w:numPr>
          <w:ilvl w:val="0"/>
          <w:numId w:val="6"/>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用75%医用酒精仔细擦拭所有成分外包装。在超净台内打开包装。</w:t>
      </w:r>
    </w:p>
    <w:p w14:paraId="2B0A91D1">
      <w:pPr>
        <w:numPr>
          <w:ilvl w:val="0"/>
          <w:numId w:val="6"/>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将培养添加物全部加入SiDoTek™细胞基础培养基中。</w:t>
      </w:r>
    </w:p>
    <w:p w14:paraId="54E6BC91">
      <w:pPr>
        <w:numPr>
          <w:ilvl w:val="0"/>
          <w:numId w:val="6"/>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拧紧基础培养基瓶盖，轻柔并充分摇匀。</w:t>
      </w:r>
    </w:p>
    <w:p w14:paraId="60D44328">
      <w:pPr>
        <w:numPr>
          <w:ilvl w:val="0"/>
          <w:numId w:val="6"/>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用封口膜密封瓶口，用铝箔纸包裹瓶身，并标注名称、配制日期等信息。</w:t>
      </w:r>
    </w:p>
    <w:p w14:paraId="5B1CEFC2">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特别提醒</w:t>
      </w:r>
    </w:p>
    <w:p w14:paraId="7241C77F">
      <w:pPr>
        <w:numPr>
          <w:ilvl w:val="0"/>
          <w:numId w:val="0"/>
        </w:num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若短期内无法用完全部培养基，我们建议分批配制；请按照套装内各成分比例，配制所需量；但剩余的成分必须严格按照各自的保存条件妥善保存，并且不可多次冻融。请根据自己需求选择是否添加抗生素，如需添加请自购。</w:t>
      </w:r>
    </w:p>
    <w:p w14:paraId="22CF3B95">
      <w:pPr>
        <w:numPr>
          <w:ilvl w:val="0"/>
          <w:numId w:val="0"/>
        </w:num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SiDoTek™小鼠胚胎干细胞无血清培养基Ⅱ型（无饲养层）套装内的所有成分都严格控制无菌，一般情况下我们不建议再次除菌。若配制过程有污染风险，可将完全培养基过滤除菌。</w:t>
      </w:r>
    </w:p>
    <w:p w14:paraId="0A93464D">
      <w:pPr>
        <w:numPr>
          <w:ilvl w:val="0"/>
          <w:numId w:val="0"/>
        </w:numPr>
        <w:tabs>
          <w:tab w:val="left" w:pos="2496"/>
        </w:tabs>
        <w:spacing w:line="360" w:lineRule="auto"/>
        <w:rPr>
          <w:rFonts w:hint="default" w:ascii="Times New Roman" w:hAnsi="Times New Roman" w:cs="Times New Roman" w:eastAsiaTheme="minorEastAsia"/>
          <w:sz w:val="21"/>
          <w:szCs w:val="21"/>
          <w:lang w:val="en-US" w:eastAsia="zh-CN"/>
        </w:rPr>
      </w:pPr>
    </w:p>
    <w:p w14:paraId="5B377338">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培养表面明胶包被</w:t>
      </w:r>
    </w:p>
    <w:p w14:paraId="77B0CA1B">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6E616349">
      <w:pPr>
        <w:numPr>
          <w:ilvl w:val="0"/>
          <w:numId w:val="0"/>
        </w:num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SiDoTek™ 0.1% Gelatin Solution（货号：SD-GLT-11301）</w:t>
      </w:r>
    </w:p>
    <w:p w14:paraId="562920A0">
      <w:pPr>
        <w:numPr>
          <w:ilvl w:val="0"/>
          <w:numId w:val="7"/>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操作步骤</w:t>
      </w:r>
    </w:p>
    <w:p w14:paraId="4184771C">
      <w:pPr>
        <w:numPr>
          <w:ilvl w:val="0"/>
          <w:numId w:val="0"/>
        </w:num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注意：为了使小鼠胚胎干细胞在无血清的条件下更好的生长，强烈建议对培养器皿表面进行明胶包被。</w:t>
      </w:r>
    </w:p>
    <w:p w14:paraId="63AE53CB">
      <w:pPr>
        <w:numPr>
          <w:ilvl w:val="0"/>
          <w:numId w:val="8"/>
        </w:num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加入足量的0.1%的明胶溶液，使之覆盖整个培养器皿底部。</w:t>
      </w:r>
    </w:p>
    <w:p w14:paraId="01CB6EDD">
      <w:pPr>
        <w:numPr>
          <w:ilvl w:val="0"/>
          <w:numId w:val="8"/>
        </w:num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室温放置至少30 min。</w:t>
      </w:r>
    </w:p>
    <w:p w14:paraId="60572C07">
      <w:pPr>
        <w:numPr>
          <w:ilvl w:val="0"/>
          <w:numId w:val="8"/>
        </w:num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如果不立即使用，可用封口膜封口放置于4℃保存。请在一周内使用完毕。</w:t>
      </w:r>
    </w:p>
    <w:p w14:paraId="279F9702">
      <w:pPr>
        <w:numPr>
          <w:ilvl w:val="0"/>
          <w:numId w:val="8"/>
        </w:num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使用前，吸去明胶溶液，晾干备用。</w:t>
      </w:r>
    </w:p>
    <w:p w14:paraId="18ABA493">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p>
    <w:p w14:paraId="5FB59540">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小鼠胚胎干细胞培养条件的转换</w:t>
      </w:r>
    </w:p>
    <w:p w14:paraId="661C7A4E">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2E36DDB9">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1. SiDoTek™ 0.25% Trypsin-0.04% EDTA（货号：SD-TEDTA-10001）</w:t>
      </w:r>
    </w:p>
    <w:p w14:paraId="0DBBFB09">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2. SiDoTek™ Phosphate-Buffered Saline (1×PBS) （货号：SD-PBS-10001）</w:t>
      </w:r>
    </w:p>
    <w:p w14:paraId="647BD694">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3. SiDoTek™ 小鼠胚胎干细胞无血清完全培养基（I型）（无血清有饲养层，货号：SD-MUXES-90062）</w:t>
      </w:r>
    </w:p>
    <w:p w14:paraId="0D1FBE98">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4. SiDoTek™ 小鼠胚胎干细胞无血清完全培养基（II型）（无血清无饲养层，货号： SD-MUXES-90061）</w:t>
      </w:r>
    </w:p>
    <w:p w14:paraId="6E31C28F">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为了使细胞获得更好的状态，强烈建议配套使用SiDoTek™小鼠胚胎干细胞I型无血清完全培养基（无血清有饲养层）（货号：SD-MUXES-90062）将细胞从有血清有饲养层条件先过渡至无血清有饲养层的培养体系培养1~2代后，再过渡至无血清无饲养层培养体系进行培养。</w:t>
      </w:r>
    </w:p>
    <w:p w14:paraId="029A7041">
      <w:pPr>
        <w:numPr>
          <w:ilvl w:val="0"/>
          <w:numId w:val="9"/>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操作步骤（无血清有饲养层→无血清无饲养层）</w:t>
      </w:r>
    </w:p>
    <w:p w14:paraId="262DF1B2">
      <w:pPr>
        <w:numPr>
          <w:ilvl w:val="0"/>
          <w:numId w:val="10"/>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对培养在小鼠胚胎干细胞I型无血清完全培养基中的小鼠胚胎干细胞进行消化。</w:t>
      </w:r>
    </w:p>
    <w:p w14:paraId="02D3809D">
      <w:pPr>
        <w:numPr>
          <w:ilvl w:val="0"/>
          <w:numId w:val="10"/>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250×g，5 min进行离心收集细胞。</w:t>
      </w:r>
    </w:p>
    <w:p w14:paraId="7C699F6F">
      <w:pPr>
        <w:numPr>
          <w:ilvl w:val="0"/>
          <w:numId w:val="10"/>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用原培养基重悬小鼠胚胎干细胞，全部接种至事先包被了明胶的培养器皿中。放置于 37℃、5% 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饱和湿度的CO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培养箱中培养。目的是为了尽可能去除原细胞群体中的  Feeder细胞。</w:t>
      </w:r>
    </w:p>
    <w:p w14:paraId="277060E9">
      <w:pPr>
        <w:numPr>
          <w:ilvl w:val="0"/>
          <w:numId w:val="10"/>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30~40 min后（具体时间以Feeder贴壁程度来判断），收集上清培养基，250×g，5 min离心。</w:t>
      </w:r>
    </w:p>
    <w:p w14:paraId="719EA015">
      <w:pPr>
        <w:numPr>
          <w:ilvl w:val="0"/>
          <w:numId w:val="0"/>
        </w:numPr>
        <w:tabs>
          <w:tab w:val="left" w:pos="2496"/>
        </w:tabs>
        <w:spacing w:line="360" w:lineRule="auto"/>
        <w:ind w:leftChars="0"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注意：因小鼠胚胎干细胞I型无血清完全培养基培养中的Feeder能形成膜状物，消化时可去除大部分Feeder。实验中步骤3、4可以考虑省略，直接进行步骤5。</w:t>
      </w:r>
    </w:p>
    <w:p w14:paraId="2E54859B">
      <w:pPr>
        <w:widowControl w:val="0"/>
        <w:numPr>
          <w:ilvl w:val="0"/>
          <w:numId w:val="10"/>
        </w:numPr>
        <w:tabs>
          <w:tab w:val="left" w:pos="2496"/>
        </w:tabs>
        <w:spacing w:line="360" w:lineRule="auto"/>
        <w:ind w:left="0" w:leftChars="0" w:firstLine="0" w:firstLineChars="0"/>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吸去上清培养基，用小鼠胚胎干细胞Ⅱ型无血清完全培养基重悬细胞。按实验所需比例接种在预先包被了明胶的培养器皿中。</w:t>
      </w:r>
    </w:p>
    <w:p w14:paraId="645AC5D9">
      <w:pPr>
        <w:widowControl w:val="0"/>
        <w:numPr>
          <w:ilvl w:val="0"/>
          <w:numId w:val="10"/>
        </w:numPr>
        <w:tabs>
          <w:tab w:val="left" w:pos="2496"/>
        </w:tabs>
        <w:spacing w:line="360" w:lineRule="auto"/>
        <w:ind w:left="0" w:leftChars="0" w:firstLine="0" w:firstLineChars="0"/>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加入足量小鼠胚胎干细胞Ⅱ型无血清完全培养基，放入37℃、5% 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饱和湿度的CO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培养箱培养。</w:t>
      </w:r>
    </w:p>
    <w:p w14:paraId="0E860B91">
      <w:pPr>
        <w:widowControl w:val="0"/>
        <w:numPr>
          <w:ilvl w:val="0"/>
          <w:numId w:val="10"/>
        </w:numPr>
        <w:tabs>
          <w:tab w:val="left" w:pos="2496"/>
        </w:tabs>
        <w:spacing w:line="360" w:lineRule="auto"/>
        <w:ind w:left="0" w:leftChars="0" w:firstLine="0" w:firstLineChars="0"/>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次日观察首次在小鼠胚胎干细胞Ⅱ型无血清完全培养基培养的小鼠胚胎干细胞，更换新鲜的小鼠胚胎干细胞Ⅱ型无血清完全培养基，以去除上一代残留的Feeder细胞以及因不适应无血清条件而死亡的ES细胞。</w:t>
      </w:r>
    </w:p>
    <w:p w14:paraId="600F425F">
      <w:pPr>
        <w:widowControl w:val="0"/>
        <w:numPr>
          <w:ilvl w:val="0"/>
          <w:numId w:val="0"/>
        </w:numPr>
        <w:tabs>
          <w:tab w:val="left" w:pos="2496"/>
        </w:tabs>
        <w:spacing w:line="360" w:lineRule="auto"/>
        <w:jc w:val="both"/>
        <w:rPr>
          <w:rFonts w:hint="default" w:ascii="Times New Roman" w:hAnsi="Times New Roman" w:cs="Times New Roman" w:eastAsiaTheme="minorEastAsia"/>
          <w:b w:val="0"/>
          <w:bCs w:val="0"/>
          <w:sz w:val="21"/>
          <w:szCs w:val="21"/>
          <w:lang w:val="en-US" w:eastAsia="zh-CN"/>
        </w:rPr>
      </w:pPr>
    </w:p>
    <w:p w14:paraId="1DC6CDEC">
      <w:pPr>
        <w:widowControl w:val="0"/>
        <w:numPr>
          <w:ilvl w:val="0"/>
          <w:numId w:val="0"/>
        </w:numPr>
        <w:tabs>
          <w:tab w:val="left" w:pos="2496"/>
        </w:tabs>
        <w:spacing w:line="360" w:lineRule="auto"/>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无血清培养体系下小鼠ES的传代</w:t>
      </w:r>
    </w:p>
    <w:p w14:paraId="7241E711">
      <w:pPr>
        <w:widowControl w:val="0"/>
        <w:numPr>
          <w:ilvl w:val="0"/>
          <w:numId w:val="0"/>
        </w:numPr>
        <w:tabs>
          <w:tab w:val="left" w:pos="2496"/>
        </w:tabs>
        <w:spacing w:line="360" w:lineRule="auto"/>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673D5D08">
      <w:pPr>
        <w:widowControl w:val="0"/>
        <w:numPr>
          <w:ilvl w:val="0"/>
          <w:numId w:val="0"/>
        </w:numPr>
        <w:tabs>
          <w:tab w:val="left" w:pos="2496"/>
        </w:tabs>
        <w:spacing w:line="360" w:lineRule="auto"/>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1. SiDoTek™ 0.25% Trypsin-0.04% EDTA（货号：SD-TEDTA-10001，以下简称胰酶）</w:t>
      </w:r>
    </w:p>
    <w:p w14:paraId="65875E13">
      <w:pPr>
        <w:widowControl w:val="0"/>
        <w:numPr>
          <w:ilvl w:val="0"/>
          <w:numId w:val="0"/>
        </w:numPr>
        <w:tabs>
          <w:tab w:val="left" w:pos="2496"/>
        </w:tabs>
        <w:spacing w:line="360" w:lineRule="auto"/>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2. SiDoTek™ Phosphate-Buffered Saline (1×PBS)（货号：SD-PBS-10001，以下简称PBS）</w:t>
      </w:r>
    </w:p>
    <w:p w14:paraId="5EE6CDC4">
      <w:pPr>
        <w:widowControl w:val="0"/>
        <w:numPr>
          <w:ilvl w:val="0"/>
          <w:numId w:val="0"/>
        </w:numPr>
        <w:tabs>
          <w:tab w:val="left" w:pos="2496"/>
        </w:tabs>
        <w:spacing w:line="360" w:lineRule="auto"/>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3. SiDoTek™ 小鼠的胚胎干细胞完全培养基（有血清有饲养层，货号请见相关产品）</w:t>
      </w:r>
    </w:p>
    <w:p w14:paraId="2F1CD8E6">
      <w:pPr>
        <w:widowControl w:val="0"/>
        <w:numPr>
          <w:ilvl w:val="0"/>
          <w:numId w:val="0"/>
        </w:numPr>
        <w:tabs>
          <w:tab w:val="left" w:pos="2496"/>
        </w:tabs>
        <w:spacing w:line="360" w:lineRule="auto"/>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4. SiDoTek™ 小鼠胚胎干细胞无血清完全培养基（II型）（无血清无饲养层，货号：SD-MUXES-90061）</w:t>
      </w:r>
    </w:p>
    <w:p w14:paraId="3A038FEB">
      <w:pPr>
        <w:widowControl w:val="0"/>
        <w:numPr>
          <w:ilvl w:val="0"/>
          <w:numId w:val="0"/>
        </w:numPr>
        <w:tabs>
          <w:tab w:val="left" w:pos="2496"/>
        </w:tabs>
        <w:spacing w:line="360" w:lineRule="auto"/>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0574BF14">
      <w:pPr>
        <w:widowControl w:val="0"/>
        <w:numPr>
          <w:ilvl w:val="0"/>
          <w:numId w:val="0"/>
        </w:numPr>
        <w:tabs>
          <w:tab w:val="left" w:pos="2496"/>
        </w:tabs>
        <w:spacing w:line="360" w:lineRule="auto"/>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1. 将小鼠胚胎干细胞Ⅱ型无血清完全培养基、1×PBS、胰酶，温热至37℃。</w:t>
      </w:r>
    </w:p>
    <w:p w14:paraId="20ABAEAA">
      <w:pPr>
        <w:widowControl w:val="0"/>
        <w:numPr>
          <w:ilvl w:val="0"/>
          <w:numId w:val="0"/>
        </w:numPr>
        <w:tabs>
          <w:tab w:val="left" w:pos="2496"/>
        </w:tabs>
        <w:spacing w:line="360" w:lineRule="auto"/>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2. 吸去小鼠胚胎干细胞培养器皿中旧的培养基。</w:t>
      </w:r>
    </w:p>
    <w:p w14:paraId="4C3C0FD3">
      <w:pPr>
        <w:widowControl w:val="0"/>
        <w:numPr>
          <w:ilvl w:val="0"/>
          <w:numId w:val="0"/>
        </w:numPr>
        <w:tabs>
          <w:tab w:val="left" w:pos="2496"/>
        </w:tabs>
        <w:spacing w:line="360" w:lineRule="auto"/>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3. 1×PBS洗涤2~3次，以去除残留培养基。</w:t>
      </w:r>
    </w:p>
    <w:p w14:paraId="4FB78747">
      <w:pPr>
        <w:widowControl w:val="0"/>
        <w:numPr>
          <w:ilvl w:val="0"/>
          <w:numId w:val="0"/>
        </w:numPr>
        <w:tabs>
          <w:tab w:val="left" w:pos="2496"/>
        </w:tabs>
        <w:spacing w:line="360" w:lineRule="auto"/>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4. 加入胰酶（直径35 mm培养皿加入约1 mL，直径100 mm培养皿加入约2~3 mL）。轻轻旋转，使胰酶覆盖细胞表面，消化直至小鼠胚胎干细胞分离。</w:t>
      </w:r>
    </w:p>
    <w:p w14:paraId="4759688D">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注意：由于不同实验室所使用的胰酶效价不同，消化时间可能略有不同，具体时间应以显微镜下观察到的情况为准。</w:t>
      </w:r>
    </w:p>
    <w:p w14:paraId="5A370DAC">
      <w:pPr>
        <w:widowControl w:val="0"/>
        <w:numPr>
          <w:ilvl w:val="0"/>
          <w:numId w:val="8"/>
        </w:numPr>
        <w:tabs>
          <w:tab w:val="left" w:pos="2496"/>
        </w:tabs>
        <w:spacing w:line="360" w:lineRule="auto"/>
        <w:ind w:left="0" w:leftChars="0" w:firstLine="0" w:firstLineChars="0"/>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加入2 mL或更多的小鼠胚胎干细胞完全培养基（含血清），用移液枪吸取液体，反复吹打瓶皿底壁，使已经消化的细胞脱离瓶皿底壁。</w:t>
      </w:r>
    </w:p>
    <w:p w14:paraId="06828F2C">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bCs/>
          <w:sz w:val="21"/>
          <w:szCs w:val="21"/>
          <w:lang w:val="en-US" w:eastAsia="zh-CN"/>
        </w:rPr>
        <w:t>注意： 吹打时动作需轻柔，不要产生气泡。小鼠胚胎干细胞传代不必消化成单细胞悬液，消化成2~3个细胞团即可。</w:t>
      </w:r>
    </w:p>
    <w:p w14:paraId="6839E01B">
      <w:pPr>
        <w:widowControl w:val="0"/>
        <w:numPr>
          <w:ilvl w:val="0"/>
          <w:numId w:val="8"/>
        </w:numPr>
        <w:tabs>
          <w:tab w:val="left" w:pos="2496"/>
        </w:tabs>
        <w:spacing w:line="360" w:lineRule="auto"/>
        <w:ind w:left="0" w:leftChars="0" w:firstLine="0" w:firstLineChars="0"/>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将上一步骤所得细胞悬液250×g离心5 min，吸去上清液。</w:t>
      </w:r>
    </w:p>
    <w:p w14:paraId="533D3CA4">
      <w:pPr>
        <w:widowControl w:val="0"/>
        <w:numPr>
          <w:ilvl w:val="0"/>
          <w:numId w:val="8"/>
        </w:numPr>
        <w:tabs>
          <w:tab w:val="left" w:pos="2496"/>
        </w:tabs>
        <w:spacing w:line="360" w:lineRule="auto"/>
        <w:ind w:left="0" w:leftChars="0" w:firstLine="0" w:firstLineChars="0"/>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用2~3 mL小鼠胚胎干细胞Ⅱ型无血清完全培养基重悬细胞。</w:t>
      </w:r>
    </w:p>
    <w:p w14:paraId="013932CB">
      <w:pPr>
        <w:widowControl w:val="0"/>
        <w:numPr>
          <w:ilvl w:val="0"/>
          <w:numId w:val="8"/>
        </w:numPr>
        <w:tabs>
          <w:tab w:val="left" w:pos="2496"/>
        </w:tabs>
        <w:spacing w:line="360" w:lineRule="auto"/>
        <w:ind w:left="0" w:leftChars="0" w:firstLine="0" w:firstLineChars="0"/>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按照(1~2)×10</w:t>
      </w:r>
      <w:r>
        <w:rPr>
          <w:rFonts w:hint="default" w:ascii="Times New Roman" w:hAnsi="Times New Roman" w:cs="Times New Roman" w:eastAsiaTheme="minorEastAsia"/>
          <w:b w:val="0"/>
          <w:bCs w:val="0"/>
          <w:sz w:val="21"/>
          <w:szCs w:val="21"/>
          <w:vertAlign w:val="superscript"/>
          <w:lang w:val="en-US" w:eastAsia="zh-CN"/>
        </w:rPr>
        <w:t>4</w:t>
      </w:r>
      <w:r>
        <w:rPr>
          <w:rFonts w:hint="default" w:ascii="Times New Roman" w:hAnsi="Times New Roman" w:cs="Times New Roman" w:eastAsiaTheme="minorEastAsia"/>
          <w:b w:val="0"/>
          <w:bCs w:val="0"/>
          <w:sz w:val="21"/>
          <w:szCs w:val="21"/>
          <w:lang w:val="en-US" w:eastAsia="zh-CN"/>
        </w:rPr>
        <w:t>个活细胞/cm</w:t>
      </w:r>
      <w:r>
        <w:rPr>
          <w:rFonts w:hint="default" w:ascii="Times New Roman" w:hAnsi="Times New Roman" w:cs="Times New Roman" w:eastAsiaTheme="minorEastAsia"/>
          <w:b w:val="0"/>
          <w:bCs w:val="0"/>
          <w:sz w:val="21"/>
          <w:szCs w:val="21"/>
          <w:vertAlign w:val="superscript"/>
          <w:lang w:val="en-US" w:eastAsia="zh-CN"/>
        </w:rPr>
        <w:t>2</w:t>
      </w:r>
      <w:r>
        <w:rPr>
          <w:rFonts w:hint="default" w:ascii="Times New Roman" w:hAnsi="Times New Roman" w:cs="Times New Roman" w:eastAsiaTheme="minorEastAsia"/>
          <w:b w:val="0"/>
          <w:bCs w:val="0"/>
          <w:sz w:val="21"/>
          <w:szCs w:val="21"/>
          <w:lang w:val="en-US" w:eastAsia="zh-CN"/>
        </w:rPr>
        <w:t>接种到接种在预先包被了明胶的培养器皿中。</w:t>
      </w:r>
    </w:p>
    <w:p w14:paraId="0056F6F2">
      <w:pPr>
        <w:widowControl w:val="0"/>
        <w:numPr>
          <w:ilvl w:val="0"/>
          <w:numId w:val="8"/>
        </w:numPr>
        <w:tabs>
          <w:tab w:val="left" w:pos="2496"/>
        </w:tabs>
        <w:spacing w:line="360" w:lineRule="auto"/>
        <w:ind w:left="0" w:leftChars="0" w:firstLine="0" w:firstLineChars="0"/>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加入足够的小鼠胚胎干细胞Ⅱ型无血清完全培养基，置于37℃、5% 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饱和湿度的CO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培养箱中培养。</w:t>
      </w:r>
    </w:p>
    <w:p w14:paraId="14FAD4DC">
      <w:pPr>
        <w:widowControl w:val="0"/>
        <w:numPr>
          <w:ilvl w:val="0"/>
          <w:numId w:val="0"/>
        </w:numPr>
        <w:tabs>
          <w:tab w:val="left" w:pos="2496"/>
        </w:tabs>
        <w:spacing w:line="360" w:lineRule="auto"/>
        <w:jc w:val="both"/>
        <w:rPr>
          <w:rFonts w:hint="default" w:ascii="Times New Roman" w:hAnsi="Times New Roman" w:cs="Times New Roman" w:eastAsiaTheme="minorEastAsia"/>
          <w:b w:val="0"/>
          <w:bCs w:val="0"/>
          <w:sz w:val="21"/>
          <w:szCs w:val="21"/>
          <w:lang w:val="en-US" w:eastAsia="zh-CN"/>
        </w:rPr>
      </w:pPr>
    </w:p>
    <w:p w14:paraId="391FF8D8">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p>
    <w:p w14:paraId="1E4C1F44">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p>
    <w:p w14:paraId="5995CC1A">
      <w:pPr>
        <w:numPr>
          <w:ilvl w:val="0"/>
          <w:numId w:val="0"/>
        </w:numPr>
        <w:tabs>
          <w:tab w:val="left" w:pos="2496"/>
        </w:tabs>
        <w:spacing w:line="360" w:lineRule="auto"/>
        <w:rPr>
          <w:rFonts w:hint="default" w:ascii="Times New Roman" w:hAnsi="Times New Roman" w:cs="Times New Roman" w:eastAsiaTheme="minorEastAsia"/>
          <w:b w:val="0"/>
          <w:bCs w:val="0"/>
          <w:sz w:val="21"/>
          <w:szCs w:val="21"/>
          <w:lang w:val="en-US" w:eastAsia="zh-CN"/>
        </w:rPr>
      </w:pPr>
    </w:p>
    <w:p w14:paraId="76AEF179">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p>
    <w:p w14:paraId="34A4B502">
      <w:pPr>
        <w:numPr>
          <w:ilvl w:val="0"/>
          <w:numId w:val="0"/>
        </w:numPr>
        <w:tabs>
          <w:tab w:val="left" w:pos="2496"/>
        </w:tabs>
        <w:spacing w:line="360" w:lineRule="auto"/>
        <w:ind w:leftChars="0"/>
        <w:rPr>
          <w:rFonts w:hint="default" w:ascii="Times New Roman" w:hAnsi="Times New Roman" w:cs="Times New Roman" w:eastAsiaTheme="minorEastAsia"/>
          <w:b w:val="0"/>
          <w:bCs w:val="0"/>
          <w:sz w:val="21"/>
          <w:szCs w:val="21"/>
          <w:lang w:val="en-US" w:eastAsia="zh-CN"/>
        </w:rPr>
      </w:pPr>
    </w:p>
    <w:p w14:paraId="62A62CF7">
      <w:pPr>
        <w:tabs>
          <w:tab w:val="left" w:pos="2496"/>
        </w:tabs>
        <w:spacing w:line="360" w:lineRule="auto"/>
        <w:rPr>
          <w:rFonts w:hint="default" w:ascii="Times New Roman" w:hAnsi="Times New Roman" w:cs="Times New Roman" w:eastAsiaTheme="minorEastAsia"/>
          <w:b/>
          <w:bCs/>
          <w:sz w:val="21"/>
          <w:szCs w:val="21"/>
          <w:lang w:val="en-US" w:eastAsia="zh-CN"/>
        </w:rPr>
      </w:pPr>
    </w:p>
    <w:p w14:paraId="6BB1F1A9">
      <w:pPr>
        <w:numPr>
          <w:ilvl w:val="0"/>
          <w:numId w:val="0"/>
        </w:numPr>
        <w:tabs>
          <w:tab w:val="left" w:pos="2496"/>
        </w:tabs>
        <w:spacing w:line="360" w:lineRule="auto"/>
        <w:rPr>
          <w:rFonts w:hint="default" w:ascii="Times New Roman" w:hAnsi="Times New Roman" w:cs="Times New Roman" w:eastAsiaTheme="minorEastAsia"/>
          <w:sz w:val="21"/>
          <w:szCs w:val="21"/>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C14BE">
    <w:pPr>
      <w:pStyle w:val="3"/>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column">
                <wp:posOffset>904240</wp:posOffset>
              </wp:positionH>
              <wp:positionV relativeFrom="paragraph">
                <wp:posOffset>74295</wp:posOffset>
              </wp:positionV>
              <wp:extent cx="6103620" cy="692785"/>
              <wp:effectExtent l="0" t="0" r="11430" b="12065"/>
              <wp:wrapNone/>
              <wp:docPr id="5" name="自选图形 8"/>
              <wp:cNvGraphicFramePr/>
              <a:graphic xmlns:a="http://schemas.openxmlformats.org/drawingml/2006/main">
                <a:graphicData uri="http://schemas.microsoft.com/office/word/2010/wordprocessingShape">
                  <wps:wsp>
                    <wps:cNvSpPr/>
                    <wps:spPr>
                      <a:xfrm rot="10800000">
                        <a:off x="0" y="0"/>
                        <a:ext cx="6103620" cy="692785"/>
                      </a:xfrm>
                      <a:custGeom>
                        <a:avLst/>
                        <a:gdLst>
                          <a:gd name="txL" fmla="*/ 2437 w 21600"/>
                          <a:gd name="txT" fmla="*/ 2437 h 21600"/>
                          <a:gd name="txR" fmla="*/ 19162 w 21600"/>
                          <a:gd name="txB" fmla="*/ 19162 h 21600"/>
                        </a:gdLst>
                        <a:ahLst/>
                        <a:cxnLst>
                          <a:cxn ang="0">
                            <a:pos x="20962" y="10800"/>
                          </a:cxn>
                          <a:cxn ang="90">
                            <a:pos x="10800" y="21600"/>
                          </a:cxn>
                          <a:cxn ang="180">
                            <a:pos x="637" y="10800"/>
                          </a:cxn>
                          <a:cxn ang="270">
                            <a:pos x="10800" y="0"/>
                          </a:cxn>
                        </a:cxnLst>
                        <a:rect l="txL" t="txT" r="txR" b="txB"/>
                        <a:pathLst>
                          <a:path w="21600" h="21600">
                            <a:moveTo>
                              <a:pt x="0" y="0"/>
                            </a:moveTo>
                            <a:lnTo>
                              <a:pt x="1275" y="21600"/>
                            </a:lnTo>
                            <a:lnTo>
                              <a:pt x="20325" y="21600"/>
                            </a:lnTo>
                            <a:lnTo>
                              <a:pt x="21600" y="0"/>
                            </a:lnTo>
                            <a:close/>
                          </a:path>
                        </a:pathLst>
                      </a:custGeom>
                      <a:solidFill>
                        <a:srgbClr val="8CBB35">
                          <a:alpha val="59999"/>
                        </a:srgbClr>
                      </a:solidFill>
                      <a:ln>
                        <a:noFill/>
                      </a:ln>
                    </wps:spPr>
                    <wps:bodyPr vert="horz" anchor="t" anchorCtr="0" upright="1"/>
                  </wps:wsp>
                </a:graphicData>
              </a:graphic>
            </wp:anchor>
          </w:drawing>
        </mc:Choice>
        <mc:Fallback>
          <w:pict>
            <v:shape id="自选图形 8" o:spid="_x0000_s1026" o:spt="100" style="position:absolute;left:0pt;margin-left:71.2pt;margin-top:5.85pt;height:54.55pt;width:480.6pt;rotation:11796480f;z-index:251663360;mso-width-relative:page;mso-height-relative:page;" fillcolor="#8CBB35" filled="t" stroked="f" coordsize="21600,21600" o:gfxdata="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uYn5T1QAAAAsB&#10;AAAPAAAAAAAAAAEAIAAAACIAAABkcnMvZG93bnJldi54bWxQSwECFAAUAAAACACHTuJAIC2Ch8kC&#10;AABnBgAADgAAAAAAAAABACAAAAAkAQAAZHJzL2Uyb0RvYy54bWxQSwUGAAAAAAYABgBZAQAAXwYA&#10;AAAA&#10;" path="m0,0l1275,21600,20325,21600,21600,0xe">
              <v:path o:connectlocs="20962,10800;10800,21600;637,10800;10800,0" o:connectangles="0,0,0,0"/>
              <v:fill on="t" opacity="39320f" focussize="0,0"/>
              <v:stroke on="f"/>
              <v:imagedata o:title=""/>
              <o:lock v:ext="edit" aspectratio="f"/>
            </v:shape>
          </w:pict>
        </mc:Fallback>
      </mc:AlternateContent>
    </w:r>
    <w:r>
      <w:rPr>
        <w:rFonts w:hint="eastAsia" w:eastAsia="宋体"/>
        <w:lang w:eastAsia="zh-CN"/>
      </w:rPr>
      <w:drawing>
        <wp:anchor distT="0" distB="0" distL="114300" distR="114300" simplePos="0" relativeHeight="251664384" behindDoc="0" locked="0" layoutInCell="1" allowOverlap="1">
          <wp:simplePos x="0" y="0"/>
          <wp:positionH relativeFrom="column">
            <wp:posOffset>-1059180</wp:posOffset>
          </wp:positionH>
          <wp:positionV relativeFrom="paragraph">
            <wp:posOffset>210820</wp:posOffset>
          </wp:positionV>
          <wp:extent cx="1811020" cy="721995"/>
          <wp:effectExtent l="0" t="0" r="17780" b="0"/>
          <wp:wrapNone/>
          <wp:docPr id="6" name="图片 11"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西岛生物 SiDoTek 横板_画板 1"/>
                  <pic:cNvPicPr>
                    <a:picLocks noChangeAspect="1"/>
                  </pic:cNvPicPr>
                </pic:nvPicPr>
                <pic:blipFill>
                  <a:blip r:embed="rId1"/>
                  <a:stretch>
                    <a:fillRect/>
                  </a:stretch>
                </pic:blipFill>
                <pic:spPr>
                  <a:xfrm>
                    <a:off x="0" y="0"/>
                    <a:ext cx="1811020" cy="721995"/>
                  </a:xfrm>
                  <a:prstGeom prst="rect">
                    <a:avLst/>
                  </a:prstGeom>
                  <a:noFill/>
                  <a:ln>
                    <a:noFill/>
                  </a:ln>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column">
                <wp:posOffset>-1138555</wp:posOffset>
              </wp:positionH>
              <wp:positionV relativeFrom="paragraph">
                <wp:posOffset>365125</wp:posOffset>
              </wp:positionV>
              <wp:extent cx="7585710" cy="414020"/>
              <wp:effectExtent l="0" t="0" r="15240" b="5080"/>
              <wp:wrapNone/>
              <wp:docPr id="1" name="矩形 9"/>
              <wp:cNvGraphicFramePr/>
              <a:graphic xmlns:a="http://schemas.openxmlformats.org/drawingml/2006/main">
                <a:graphicData uri="http://schemas.microsoft.com/office/word/2010/wordprocessingShape">
                  <wps:wsp>
                    <wps:cNvSpPr/>
                    <wps:spPr>
                      <a:xfrm>
                        <a:off x="759460" y="5626735"/>
                        <a:ext cx="7585710" cy="414020"/>
                      </a:xfrm>
                      <a:prstGeom prst="rect">
                        <a:avLst/>
                      </a:prstGeom>
                      <a:solidFill>
                        <a:srgbClr val="45B2B4">
                          <a:alpha val="59999"/>
                        </a:srgbClr>
                      </a:solidFill>
                      <a:ln w="9525">
                        <a:noFill/>
                      </a:ln>
                    </wps:spPr>
                    <wps:bodyPr vert="horz" anchor="t" anchorCtr="0" upright="1"/>
                  </wps:wsp>
                </a:graphicData>
              </a:graphic>
            </wp:anchor>
          </w:drawing>
        </mc:Choice>
        <mc:Fallback>
          <w:pict>
            <v:rect id="矩形 9" o:spid="_x0000_s1026" o:spt="1" style="position:absolute;left:0pt;margin-left:-89.65pt;margin-top:28.75pt;height:32.6pt;width:597.3pt;z-index:251659264;mso-width-relative:page;mso-height-relative:page;" fillcolor="#45B2B4" filled="t" stroked="f" coordsize="21600,21600" o:gfxdata="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Un1ZXbAAAADAEAAA8AAAAAAAAAAQAgAAAAIgAAAGRycy9kb3ducmV2LnhtbFBLAQIUABQAAAAI&#10;AIdO4kA6Zy5T6gEAALkDAAAOAAAAAAAAAAEAIAAAACoBAABkcnMvZTJvRG9jLnhtbFBLBQYAAAAA&#10;BgAGAFkBAACGBQAAAAA=&#10;">
              <v:fill on="t" opacity="39320f" focussize="0,0"/>
              <v:stroke on="f"/>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203C7">
    <w:pPr>
      <w:pStyle w:val="4"/>
      <w:rPr>
        <w:rFonts w:hint="eastAsia" w:eastAsia="宋体"/>
        <w:lang w:eastAsia="zh-CN"/>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-1087755</wp:posOffset>
          </wp:positionH>
          <wp:positionV relativeFrom="paragraph">
            <wp:posOffset>-607060</wp:posOffset>
          </wp:positionV>
          <wp:extent cx="1633855" cy="651510"/>
          <wp:effectExtent l="0" t="0" r="0" b="0"/>
          <wp:wrapNone/>
          <wp:docPr id="4" name="图片 5"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西岛生物 SiDoTek 横板_画板 1"/>
                  <pic:cNvPicPr>
                    <a:picLocks noChangeAspect="1"/>
                  </pic:cNvPicPr>
                </pic:nvPicPr>
                <pic:blipFill>
                  <a:blip r:embed="rId1"/>
                  <a:stretch>
                    <a:fillRect/>
                  </a:stretch>
                </pic:blipFill>
                <pic:spPr>
                  <a:xfrm>
                    <a:off x="0" y="0"/>
                    <a:ext cx="1633855" cy="651510"/>
                  </a:xfrm>
                  <a:prstGeom prst="rect">
                    <a:avLst/>
                  </a:prstGeom>
                  <a:noFill/>
                  <a:ln>
                    <a:noFill/>
                  </a:ln>
                </pic:spPr>
              </pic:pic>
            </a:graphicData>
          </a:graphic>
        </wp:anchor>
      </w:drawing>
    </w:r>
    <w:r>
      <w:rPr>
        <w:sz w:val="18"/>
      </w:rPr>
      <mc:AlternateContent>
        <mc:Choice Requires="wps">
          <w:drawing>
            <wp:anchor distT="0" distB="0" distL="114300" distR="114300" simplePos="0" relativeHeight="251661312" behindDoc="0" locked="0" layoutInCell="1" allowOverlap="1">
              <wp:simplePos x="0" y="0"/>
              <wp:positionH relativeFrom="column">
                <wp:posOffset>925195</wp:posOffset>
              </wp:positionH>
              <wp:positionV relativeFrom="paragraph">
                <wp:posOffset>-548640</wp:posOffset>
              </wp:positionV>
              <wp:extent cx="6003290" cy="678815"/>
              <wp:effectExtent l="0" t="0" r="16510" b="6985"/>
              <wp:wrapNone/>
              <wp:docPr id="3" name="自选图形 4"/>
              <wp:cNvGraphicFramePr/>
              <a:graphic xmlns:a="http://schemas.openxmlformats.org/drawingml/2006/main">
                <a:graphicData uri="http://schemas.microsoft.com/office/word/2010/wordprocessingShape">
                  <wps:wsp>
                    <wps:cNvSpPr/>
                    <wps:spPr>
                      <a:xfrm>
                        <a:off x="0" y="0"/>
                        <a:ext cx="6003290" cy="678815"/>
                      </a:xfrm>
                      <a:custGeom>
                        <a:avLst/>
                        <a:gdLst>
                          <a:gd name="txL" fmla="*/ 2369 w 21600"/>
                          <a:gd name="txT" fmla="*/ 2369 h 21600"/>
                          <a:gd name="txR" fmla="*/ 19230 w 21600"/>
                          <a:gd name="txB" fmla="*/ 19230 h 21600"/>
                        </a:gdLst>
                        <a:ahLst/>
                        <a:cxnLst>
                          <a:cxn ang="0">
                            <a:pos x="21030" y="10800"/>
                          </a:cxn>
                          <a:cxn ang="90">
                            <a:pos x="10800" y="21600"/>
                          </a:cxn>
                          <a:cxn ang="180">
                            <a:pos x="569" y="10800"/>
                          </a:cxn>
                          <a:cxn ang="270">
                            <a:pos x="10800" y="0"/>
                          </a:cxn>
                        </a:cxnLst>
                        <a:rect l="txL" t="txT" r="txR" b="txB"/>
                        <a:pathLst>
                          <a:path w="21600" h="21600">
                            <a:moveTo>
                              <a:pt x="0" y="0"/>
                            </a:moveTo>
                            <a:lnTo>
                              <a:pt x="1139" y="21600"/>
                            </a:lnTo>
                            <a:lnTo>
                              <a:pt x="20461" y="21600"/>
                            </a:lnTo>
                            <a:lnTo>
                              <a:pt x="21600" y="0"/>
                            </a:lnTo>
                            <a:close/>
                          </a:path>
                        </a:pathLst>
                      </a:custGeom>
                      <a:solidFill>
                        <a:srgbClr val="45B2B4">
                          <a:alpha val="59999"/>
                        </a:srgbClr>
                      </a:solidFill>
                      <a:ln>
                        <a:noFill/>
                      </a:ln>
                    </wps:spPr>
                    <wps:bodyPr vert="horz" anchor="t" anchorCtr="0" upright="1"/>
                  </wps:wsp>
                </a:graphicData>
              </a:graphic>
            </wp:anchor>
          </w:drawing>
        </mc:Choice>
        <mc:Fallback>
          <w:pict>
            <v:shape id="自选图形 4" o:spid="_x0000_s1026" o:spt="100" style="position:absolute;left:0pt;margin-left:72.85pt;margin-top:-43.2pt;height:53.45pt;width:472.7pt;z-index:251661312;mso-width-relative:page;mso-height-relative:page;" fillcolor="#45B2B4" filled="t" stroked="f" coordsize="21600,21600" o:gfxdata="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6h0S93QAA&#10;AAsBAAAPAAAAAAAAAAEAIAAAACIAAABkcnMvZG93bnJldi54bWxQSwECFAAUAAAACACHTuJA/jsb&#10;/sQCAABYBgAADgAAAAAAAAABACAAAAAsAQAAZHJzL2Uyb0RvYy54bWxQSwUGAAAAAAYABgBZAQAA&#10;YgYAAAAA&#10;" path="m0,0l1139,21600,20461,21600,21600,0xe">
              <v:path o:connectlocs="21030,10800;10800,21600;569,10800;10800,0" o:connectangles="0,0,0,0"/>
              <v:fill on="t" opacity="39320f" focussize="0,0"/>
              <v:stroke on="f"/>
              <v:imagedata o:title=""/>
              <o:lock v:ext="edit" aspectratio="f"/>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-551180</wp:posOffset>
              </wp:positionV>
              <wp:extent cx="6348095" cy="468630"/>
              <wp:effectExtent l="0" t="0" r="14605" b="7620"/>
              <wp:wrapNone/>
              <wp:docPr id="2" name="自选图形 3"/>
              <wp:cNvGraphicFramePr/>
              <a:graphic xmlns:a="http://schemas.openxmlformats.org/drawingml/2006/main">
                <a:graphicData uri="http://schemas.microsoft.com/office/word/2010/wordprocessingShape">
                  <wps:wsp>
                    <wps:cNvSpPr/>
                    <wps:spPr>
                      <a:xfrm>
                        <a:off x="1704340" y="800100"/>
                        <a:ext cx="6348095" cy="468630"/>
                      </a:xfrm>
                      <a:custGeom>
                        <a:avLst/>
                        <a:gdLst>
                          <a:gd name="txL" fmla="*/ 2172 w 21600"/>
                          <a:gd name="txT" fmla="*/ 2172 h 21600"/>
                          <a:gd name="txR" fmla="*/ 19427 w 21600"/>
                          <a:gd name="txB" fmla="*/ 19427 h 21600"/>
                        </a:gdLst>
                        <a:ahLst/>
                        <a:cxnLst>
                          <a:cxn ang="0">
                            <a:pos x="21227" y="10800"/>
                          </a:cxn>
                          <a:cxn ang="90">
                            <a:pos x="10800" y="21600"/>
                          </a:cxn>
                          <a:cxn ang="180">
                            <a:pos x="372" y="10800"/>
                          </a:cxn>
                          <a:cxn ang="270">
                            <a:pos x="10800" y="0"/>
                          </a:cxn>
                        </a:cxnLst>
                        <a:rect l="txL" t="txT" r="txR" b="txB"/>
                        <a:pathLst>
                          <a:path w="21600" h="21600">
                            <a:moveTo>
                              <a:pt x="0" y="0"/>
                            </a:moveTo>
                            <a:lnTo>
                              <a:pt x="745" y="21600"/>
                            </a:lnTo>
                            <a:lnTo>
                              <a:pt x="20855" y="21600"/>
                            </a:lnTo>
                            <a:lnTo>
                              <a:pt x="21600" y="0"/>
                            </a:lnTo>
                            <a:close/>
                          </a:path>
                        </a:pathLst>
                      </a:custGeom>
                      <a:solidFill>
                        <a:srgbClr val="8CBB35">
                          <a:alpha val="59999"/>
                        </a:srgbClr>
                      </a:solidFill>
                      <a:ln w="9525">
                        <a:noFill/>
                      </a:ln>
                    </wps:spPr>
                    <wps:bodyPr vert="horz" anchor="t" anchorCtr="0" upright="1"/>
                  </wps:wsp>
                </a:graphicData>
              </a:graphic>
            </wp:anchor>
          </w:drawing>
        </mc:Choice>
        <mc:Fallback>
          <w:pict>
            <v:shape id="自选图形 3" o:spid="_x0000_s1026" o:spt="100" style="position:absolute;left:0pt;margin-left:42.75pt;margin-top:-43.4pt;height:36.9pt;width:499.85pt;z-index:251660288;mso-width-relative:page;mso-height-relative:page;" fillcolor="#8CBB35" filled="t" stroked="f" coordsize="21600,21600" o:gfxdata="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O73Q7HZAAAACwEAAA8AAAAAAAAAAQAgAAAAIgAAAGRycy9kb3ducmV2LnhtbFBLAQIUABQAAAAI&#10;AIdO4kCNBcsm0AIAAGsGAAAOAAAAAAAAAAEAIAAAACgBAABkcnMvZTJvRG9jLnhtbFBLBQYAAAAA&#10;BgAGAFkBAABqBgAAAAA=&#10;" path="m0,0l745,21600,20855,21600,21600,0xe">
              <v:path o:connectlocs="21227,10800;10800,21600;372,10800;10800,0" o:connectangles="0,0,0,0"/>
              <v:fill on="t" opacity="39320f"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3DC44"/>
    <w:multiLevelType w:val="singleLevel"/>
    <w:tmpl w:val="8C03DC44"/>
    <w:lvl w:ilvl="0" w:tentative="0">
      <w:start w:val="2"/>
      <w:numFmt w:val="chineseCounting"/>
      <w:suff w:val="nothing"/>
      <w:lvlText w:val="%1．"/>
      <w:lvlJc w:val="left"/>
      <w:rPr>
        <w:rFonts w:hint="eastAsia"/>
      </w:rPr>
    </w:lvl>
  </w:abstractNum>
  <w:abstractNum w:abstractNumId="1">
    <w:nsid w:val="BF614029"/>
    <w:multiLevelType w:val="singleLevel"/>
    <w:tmpl w:val="BF614029"/>
    <w:lvl w:ilvl="0" w:tentative="0">
      <w:start w:val="1"/>
      <w:numFmt w:val="decimal"/>
      <w:suff w:val="space"/>
      <w:lvlText w:val="%1."/>
      <w:lvlJc w:val="left"/>
    </w:lvl>
  </w:abstractNum>
  <w:abstractNum w:abstractNumId="2">
    <w:nsid w:val="D1581AC0"/>
    <w:multiLevelType w:val="singleLevel"/>
    <w:tmpl w:val="D1581AC0"/>
    <w:lvl w:ilvl="0" w:tentative="0">
      <w:start w:val="1"/>
      <w:numFmt w:val="decimal"/>
      <w:suff w:val="space"/>
      <w:lvlText w:val="%1."/>
      <w:lvlJc w:val="left"/>
    </w:lvl>
  </w:abstractNum>
  <w:abstractNum w:abstractNumId="3">
    <w:nsid w:val="E4D5BC98"/>
    <w:multiLevelType w:val="singleLevel"/>
    <w:tmpl w:val="E4D5BC98"/>
    <w:lvl w:ilvl="0" w:tentative="0">
      <w:start w:val="1"/>
      <w:numFmt w:val="decimal"/>
      <w:suff w:val="space"/>
      <w:lvlText w:val="%1."/>
      <w:lvlJc w:val="left"/>
    </w:lvl>
  </w:abstractNum>
  <w:abstractNum w:abstractNumId="4">
    <w:nsid w:val="E532F606"/>
    <w:multiLevelType w:val="singleLevel"/>
    <w:tmpl w:val="E532F606"/>
    <w:lvl w:ilvl="0" w:tentative="0">
      <w:start w:val="1"/>
      <w:numFmt w:val="decimal"/>
      <w:suff w:val="space"/>
      <w:lvlText w:val="%1."/>
      <w:lvlJc w:val="left"/>
    </w:lvl>
  </w:abstractNum>
  <w:abstractNum w:abstractNumId="5">
    <w:nsid w:val="F316EB64"/>
    <w:multiLevelType w:val="singleLevel"/>
    <w:tmpl w:val="F316EB64"/>
    <w:lvl w:ilvl="0" w:tentative="0">
      <w:start w:val="1"/>
      <w:numFmt w:val="decimal"/>
      <w:suff w:val="space"/>
      <w:lvlText w:val="%1."/>
      <w:lvlJc w:val="left"/>
    </w:lvl>
  </w:abstractNum>
  <w:abstractNum w:abstractNumId="6">
    <w:nsid w:val="0B391068"/>
    <w:multiLevelType w:val="singleLevel"/>
    <w:tmpl w:val="0B391068"/>
    <w:lvl w:ilvl="0" w:tentative="0">
      <w:start w:val="1"/>
      <w:numFmt w:val="decimal"/>
      <w:suff w:val="space"/>
      <w:lvlText w:val="%1."/>
      <w:lvlJc w:val="left"/>
    </w:lvl>
  </w:abstractNum>
  <w:abstractNum w:abstractNumId="7">
    <w:nsid w:val="20E5A478"/>
    <w:multiLevelType w:val="singleLevel"/>
    <w:tmpl w:val="20E5A478"/>
    <w:lvl w:ilvl="0" w:tentative="0">
      <w:start w:val="1"/>
      <w:numFmt w:val="decimal"/>
      <w:suff w:val="space"/>
      <w:lvlText w:val="%1."/>
      <w:lvlJc w:val="left"/>
    </w:lvl>
  </w:abstractNum>
  <w:abstractNum w:abstractNumId="8">
    <w:nsid w:val="517BD848"/>
    <w:multiLevelType w:val="singleLevel"/>
    <w:tmpl w:val="517BD848"/>
    <w:lvl w:ilvl="0" w:tentative="0">
      <w:start w:val="2"/>
      <w:numFmt w:val="chineseCounting"/>
      <w:suff w:val="nothing"/>
      <w:lvlText w:val="%1、"/>
      <w:lvlJc w:val="left"/>
      <w:rPr>
        <w:rFonts w:hint="eastAsia"/>
      </w:rPr>
    </w:lvl>
  </w:abstractNum>
  <w:abstractNum w:abstractNumId="9">
    <w:nsid w:val="548E3424"/>
    <w:multiLevelType w:val="singleLevel"/>
    <w:tmpl w:val="548E3424"/>
    <w:lvl w:ilvl="0" w:tentative="0">
      <w:start w:val="2"/>
      <w:numFmt w:val="chineseCounting"/>
      <w:suff w:val="nothing"/>
      <w:lvlText w:val="%1、"/>
      <w:lvlJc w:val="left"/>
      <w:rPr>
        <w:rFonts w:hint="eastAsia"/>
      </w:rPr>
    </w:lvl>
  </w:abstractNum>
  <w:num w:numId="1">
    <w:abstractNumId w:val="1"/>
  </w:num>
  <w:num w:numId="2">
    <w:abstractNumId w:val="5"/>
  </w:num>
  <w:num w:numId="3">
    <w:abstractNumId w:val="4"/>
  </w:num>
  <w:num w:numId="4">
    <w:abstractNumId w:val="6"/>
  </w:num>
  <w:num w:numId="5">
    <w:abstractNumId w:val="0"/>
  </w:num>
  <w:num w:numId="6">
    <w:abstractNumId w:val="3"/>
  </w:num>
  <w:num w:numId="7">
    <w:abstractNumId w:val="9"/>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2E3MDJkMmQxZDBiZDZmNmI4ZWUzNDNiOTAxZWYifQ=="/>
  </w:docVars>
  <w:rsids>
    <w:rsidRoot w:val="00000000"/>
    <w:rsid w:val="019955AC"/>
    <w:rsid w:val="141E72D3"/>
    <w:rsid w:val="2637568C"/>
    <w:rsid w:val="2A886554"/>
    <w:rsid w:val="2E277C09"/>
    <w:rsid w:val="2F305B4B"/>
    <w:rsid w:val="364E737F"/>
    <w:rsid w:val="37FE3AA3"/>
    <w:rsid w:val="3F336B8C"/>
    <w:rsid w:val="5DE439B0"/>
    <w:rsid w:val="6A8B3FD6"/>
    <w:rsid w:val="6AFF04A8"/>
    <w:rsid w:val="6D0B1E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autoRedefine/>
    <w:semiHidden/>
    <w:qFormat/>
    <w:uiPriority w:val="0"/>
    <w:rPr>
      <w:rFonts w:ascii="微软雅黑" w:hAnsi="微软雅黑" w:eastAsia="微软雅黑" w:cs="微软雅黑"/>
      <w:sz w:val="20"/>
      <w:szCs w:val="20"/>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2386</Words>
  <Characters>3111</Characters>
  <Lines>0</Lines>
  <Paragraphs>0</Paragraphs>
  <TotalTime>0</TotalTime>
  <ScaleCrop>false</ScaleCrop>
  <LinksUpToDate>false</LinksUpToDate>
  <CharactersWithSpaces>3200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2024-03-05T13:30:00Z</dcterms:created>
  <dc:creator>ASUS</dc:creator>
  <cp:lastModifiedBy>杨凯尧</cp:lastModifiedBy>
  <dcterms:modified xsi:type="dcterms:W3CDTF">2024-12-13T03:20:43Z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20DC37BDB0D64A7F9202799E5F6C71B4_13</vt:lpwstr>
  </property>
</Properties>
</file>