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SiDoTek™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 First Strand cDNA Synthesis SuperMix for qPCR(with dsDNase)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第一链反转录预混试剂盒 qPCR专用（含双链特异性DNA酶）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目录号：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DMR2-4a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5a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储存条件：-30 ~ -15℃保存2年，≤0℃运输</w:t>
      </w: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0F7F7D"/>
          <w:sz w:val="20"/>
          <w:szCs w:val="20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产品内容：</w:t>
      </w:r>
    </w:p>
    <w:tbl>
      <w:tblPr>
        <w:tblStyle w:val="5"/>
        <w:tblW w:w="4823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611"/>
        <w:gridCol w:w="24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44" w:type="pct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1588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DMR2-4a</w:t>
            </w:r>
          </w:p>
        </w:tc>
        <w:tc>
          <w:tcPr>
            <w:tcW w:w="1468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DMR2-5a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44" w:type="pct"/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4× Master SuperMix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5×gDNA Eraser Mix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RNase-free Water</w:t>
            </w:r>
          </w:p>
        </w:tc>
        <w:tc>
          <w:tcPr>
            <w:tcW w:w="1588" w:type="pct"/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250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mL</w:t>
            </w:r>
          </w:p>
        </w:tc>
        <w:tc>
          <w:tcPr>
            <w:tcW w:w="1468" w:type="pct"/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500 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2×100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μL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2×1 mL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15"/>
          <w:szCs w:val="16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lang w:eastAsia="zh-CN"/>
        </w:rPr>
        <w:t>SiDoTek™</w:t>
      </w:r>
      <w:r>
        <w:rPr>
          <w:rFonts w:hint="default" w:ascii="Times New Roman" w:hAnsi="Times New Roman" w:cs="Times New Roman"/>
          <w:sz w:val="18"/>
          <w:szCs w:val="18"/>
        </w:rPr>
        <w:t xml:space="preserve"> First Strand cDNA Synthesis SuperMix for qPCR(with dsDNase)是一款含有基因组去除组分的第一链cDNA合成试剂盒，可高效去除RNA中的基因组DNA污染。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4× Master SuperMix 中包含第一链cDNA合成所需的所有组分，使用时仅需加入RNA模板和水即可进行合成，使用本试剂盒获得的cDNA可用于qPCR、普通PCR等实验。</w:t>
      </w:r>
    </w:p>
    <w:p>
      <w:pPr>
        <w:spacing w:line="240" w:lineRule="auto"/>
        <w:rPr>
          <w:rFonts w:hint="default" w:ascii="Times New Roman" w:hAnsi="Times New Roman" w:cs="Times New Roman"/>
          <w:sz w:val="16"/>
          <w:szCs w:val="16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1. 操作过程严格避免RNase污染。为保证反转录成功，建议使用高质量的RNA样品。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2. 为避免样品间交叉污染和气溶胶污染，推荐在超净台或生物安全柜中进行反应体系的配制,并使用带滤芯的吸头。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3. 5× gDNA Eraser Mix 、4× Master SuperMix 非常粘稠，溶液容易吸附在管壁和吸头外导致损失，用前请离心后再使用，并且避免试剂在吸头外壁沾附而造成大量损失。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4. 请于使用前确保产品完全解冻，彻底混匀后短暂离心，置于冰上备用。反复冻融会影响产品的性能。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8" w:afterLines="20"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5. 为了您的安全和健康，请穿实验服并戴一次性手套操作。</w:t>
      </w:r>
    </w:p>
    <w:p>
      <w:pPr>
        <w:spacing w:line="240" w:lineRule="auto"/>
        <w:rPr>
          <w:rFonts w:hint="default" w:ascii="Times New Roman" w:hAnsi="Times New Roman" w:cs="Times New Roman"/>
          <w:sz w:val="16"/>
          <w:szCs w:val="16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实验流程 （以20 μL反应体系为例）</w:t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基因组DNA去除</w:t>
      </w:r>
    </w:p>
    <w:tbl>
      <w:tblPr>
        <w:tblStyle w:val="5"/>
        <w:tblpPr w:leftFromText="180" w:rightFromText="180" w:vertAnchor="text" w:horzAnchor="page" w:tblpX="1798" w:tblpY="21"/>
        <w:tblOverlap w:val="never"/>
        <w:tblW w:w="48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3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试剂</w:t>
            </w:r>
          </w:p>
        </w:tc>
        <w:tc>
          <w:tcPr>
            <w:tcW w:w="21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 μL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eastAsia="zh-CN"/>
              </w:rPr>
              <w:t>体系添加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体积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810" w:type="pct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 gDNA Eraser Mix</w:t>
            </w:r>
          </w:p>
        </w:tc>
        <w:tc>
          <w:tcPr>
            <w:tcW w:w="2190" w:type="pct"/>
            <w:shd w:val="clear" w:color="auto" w:fill="FFFFFF" w:themeFill="background1"/>
            <w:noWrap/>
            <w:vAlign w:val="center"/>
          </w:tcPr>
          <w:p>
            <w:pPr>
              <w:pStyle w:val="7"/>
              <w:spacing w:before="16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shd w:val="clear" w:color="auto" w:fill="FFFFFF" w:themeFill="background1"/>
            <w:noWrap/>
            <w:vAlign w:val="center"/>
          </w:tcPr>
          <w:p>
            <w:pPr>
              <w:pStyle w:val="7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Total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RNA</w:t>
            </w:r>
          </w:p>
        </w:tc>
        <w:tc>
          <w:tcPr>
            <w:tcW w:w="2190" w:type="pct"/>
            <w:shd w:val="clear" w:color="auto" w:fill="FFFFFF" w:themeFill="background1"/>
            <w:noWrap/>
            <w:vAlign w:val="center"/>
          </w:tcPr>
          <w:p>
            <w:pPr>
              <w:pStyle w:val="7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＜1 μ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pStyle w:val="7"/>
              <w:spacing w:before="16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RNase-free Water</w:t>
            </w:r>
          </w:p>
        </w:tc>
        <w:tc>
          <w:tcPr>
            <w:tcW w:w="21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pStyle w:val="7"/>
              <w:spacing w:before="16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p to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10 μL</w:t>
            </w:r>
          </w:p>
        </w:tc>
      </w:tr>
    </w:tbl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用移液器轻轻吹打混匀，37℃反应2min，立即置于冰上，或者继续55℃反应5min后置于冰上。（55℃反应5min能充分失活dsDNase，后续加入的4× Master SuperMix中含有DTT也能抑制dsDNase的活性）</w:t>
      </w:r>
    </w:p>
    <w:p>
      <w:pP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br w:type="page"/>
      </w:r>
    </w:p>
    <w:p>
      <w:pPr>
        <w:spacing w:after="24" w:afterLines="10"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  <w:t>配制第一链cDNA合成反应体系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1.试剂配置</w:t>
      </w:r>
    </w:p>
    <w:tbl>
      <w:tblPr>
        <w:tblStyle w:val="5"/>
        <w:tblpPr w:leftFromText="180" w:rightFromText="180" w:vertAnchor="text" w:horzAnchor="page" w:tblpX="1798" w:tblpY="21"/>
        <w:tblOverlap w:val="never"/>
        <w:tblW w:w="48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3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试剂</w:t>
            </w:r>
          </w:p>
        </w:tc>
        <w:tc>
          <w:tcPr>
            <w:tcW w:w="21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μL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eastAsia="zh-CN"/>
              </w:rPr>
              <w:t>体系添加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体积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4× Master SuperMix</w:t>
            </w:r>
          </w:p>
        </w:tc>
        <w:tc>
          <w:tcPr>
            <w:tcW w:w="2190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shd w:val="clear" w:color="auto" w:fill="FFFFFF" w:themeFill="background1"/>
            <w:noWrap/>
          </w:tcPr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Total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RNA</w:t>
            </w:r>
          </w:p>
        </w:tc>
        <w:tc>
          <w:tcPr>
            <w:tcW w:w="2190" w:type="pct"/>
            <w:shd w:val="clear" w:color="auto" w:fill="FFFFFF" w:themeFill="background1"/>
            <w:noWrap/>
          </w:tcPr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Up to 1 μg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bidi="ar"/>
              </w:rPr>
              <w:t>RNase-free Water</w:t>
            </w:r>
          </w:p>
        </w:tc>
        <w:tc>
          <w:tcPr>
            <w:tcW w:w="21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Up to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20 μL</w:t>
            </w:r>
          </w:p>
        </w:tc>
      </w:tr>
    </w:tbl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>轻柔吸打混匀。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>反应程序设置</w:t>
      </w:r>
    </w:p>
    <w:tbl>
      <w:tblPr>
        <w:tblStyle w:val="5"/>
        <w:tblpPr w:leftFromText="180" w:rightFromText="180" w:vertAnchor="text" w:horzAnchor="page" w:tblpX="1798" w:tblpY="21"/>
        <w:tblOverlap w:val="never"/>
        <w:tblW w:w="48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3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温度</w:t>
            </w:r>
          </w:p>
        </w:tc>
        <w:tc>
          <w:tcPr>
            <w:tcW w:w="21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孵育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8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25℃</w:t>
            </w:r>
          </w:p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42℃</w:t>
            </w:r>
            <w:r>
              <w:rPr>
                <w:rFonts w:hint="default" w:ascii="Times New Roman" w:hAnsi="Times New Roman" w:cs="Times New Roman"/>
                <w:b/>
                <w:bCs/>
                <w:color w:val="0D7F7E"/>
                <w:sz w:val="18"/>
                <w:szCs w:val="18"/>
              </w:rPr>
              <w:t>*</w:t>
            </w:r>
          </w:p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85℃</w:t>
            </w:r>
          </w:p>
        </w:tc>
        <w:tc>
          <w:tcPr>
            <w:tcW w:w="21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 ~ 10min</w:t>
            </w:r>
          </w:p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15~20 min</w:t>
            </w:r>
          </w:p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5 min</w:t>
            </w:r>
          </w:p>
        </w:tc>
      </w:tr>
    </w:tbl>
    <w:p>
      <w:pPr>
        <w:widowControl/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*如果模板具有复杂二级结构或高GC区域，可将反应温度提高到55℃，有助于提高产量。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4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该产物可直接用于第二链的合成或qPCR扩增反应，请在-20℃保存产物，并在半年内使用，长期存放建议分装后在-80℃保存。做qPCR时，建议取1/10 ~ 1/5 体积(即2 ~ 4 μl)的反转录产物作为PCR模板。丰度高的可以酌情适当稀释cDNA后使用。cDNA应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  <w:lang w:eastAsia="zh-CN"/>
        </w:rPr>
        <w:t>避免反复冻融。</w:t>
      </w:r>
    </w:p>
    <w:p>
      <w:pPr>
        <w:tabs>
          <w:tab w:val="left" w:pos="2496"/>
        </w:tabs>
        <w:spacing w:line="24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0E6564F5"/>
    <w:rsid w:val="141E72D3"/>
    <w:rsid w:val="196B3B11"/>
    <w:rsid w:val="2A886554"/>
    <w:rsid w:val="53FA07EF"/>
    <w:rsid w:val="6301355F"/>
    <w:rsid w:val="6A8B3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多巴胺</cp:lastModifiedBy>
  <dcterms:modified xsi:type="dcterms:W3CDTF">2024-07-09T05:14:15Z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20DC37BDB0D64A7F9202799E5F6C71B4_13</vt:lpwstr>
  </property>
</Properties>
</file>