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1FF2D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</w:rPr>
        <w:t>SiDoTek™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 xml:space="preserve"> 小鼠胚胎干细胞无血清培养基Ⅰ型（有饲养层）</w:t>
      </w:r>
    </w:p>
    <w:p w14:paraId="472F792D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>产品货号：</w:t>
      </w:r>
      <w:bookmarkStart w:id="0" w:name="_GoBack"/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>ESC200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  <w:t>2</w:t>
      </w:r>
      <w:bookmarkEnd w:id="0"/>
    </w:p>
    <w:p w14:paraId="35FA97B3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</w:p>
    <w:p w14:paraId="7282EF5D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产品介绍</w:t>
      </w:r>
    </w:p>
    <w:p w14:paraId="5F5C6CDF">
      <w:pPr>
        <w:tabs>
          <w:tab w:val="left" w:pos="2496"/>
        </w:tabs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由SiDoTek™研发团队精心优化的SiDoTek™小鼠胚胎干细胞无血清培养基Ⅰ型（有饲养层），包括小鼠胚胎干细胞Ⅰ型无血清基础培养基、经筛选配比的无血清添加物及其他辅助成分。该产品适用于小鼠胚胎干细胞（ES）的无血清有饲养层的培养；可维持小鼠胚胎干细胞在无血清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有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饲养层的生长环境下良好的增殖特性及高度未分化全能性，并保持正确的核型。</w:t>
      </w:r>
    </w:p>
    <w:p w14:paraId="446A3025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注意：本产品仅提供给进一步科研使用，不可用于临床治疗等其他用途。</w:t>
      </w:r>
    </w:p>
    <w:p w14:paraId="39DB0430">
      <w:pPr>
        <w:tabs>
          <w:tab w:val="left" w:pos="2496"/>
        </w:tabs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</w:p>
    <w:p w14:paraId="2E47E0A0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套装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成分</w:t>
      </w:r>
    </w:p>
    <w:tbl>
      <w:tblPr>
        <w:tblStyle w:val="6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1"/>
        <w:gridCol w:w="1915"/>
        <w:gridCol w:w="1307"/>
        <w:gridCol w:w="1332"/>
      </w:tblGrid>
      <w:tr w14:paraId="0AD9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1" w:type="dxa"/>
          </w:tcPr>
          <w:p w14:paraId="661CF724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套装成分</w:t>
            </w:r>
          </w:p>
        </w:tc>
        <w:tc>
          <w:tcPr>
            <w:tcW w:w="1915" w:type="dxa"/>
          </w:tcPr>
          <w:p w14:paraId="7942F452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货号</w:t>
            </w:r>
          </w:p>
        </w:tc>
        <w:tc>
          <w:tcPr>
            <w:tcW w:w="1307" w:type="dxa"/>
            <w:vAlign w:val="top"/>
          </w:tcPr>
          <w:p w14:paraId="6090BE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500 mL/Kit</w:t>
            </w:r>
          </w:p>
        </w:tc>
        <w:tc>
          <w:tcPr>
            <w:tcW w:w="1332" w:type="dxa"/>
            <w:vAlign w:val="top"/>
          </w:tcPr>
          <w:p w14:paraId="7BAF52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200 mL/Kit</w:t>
            </w:r>
          </w:p>
        </w:tc>
      </w:tr>
      <w:tr w14:paraId="6CF3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1" w:type="dxa"/>
          </w:tcPr>
          <w:p w14:paraId="19D42CDB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细胞基础培养基</w:t>
            </w:r>
          </w:p>
          <w:p w14:paraId="45125DE2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Basal Medium For Cell Culture</w:t>
            </w:r>
          </w:p>
        </w:tc>
        <w:tc>
          <w:tcPr>
            <w:tcW w:w="1915" w:type="dxa"/>
            <w:vAlign w:val="top"/>
          </w:tcPr>
          <w:p w14:paraId="6CA6C035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SD-BKOD-03011</w:t>
            </w:r>
          </w:p>
        </w:tc>
        <w:tc>
          <w:tcPr>
            <w:tcW w:w="1307" w:type="dxa"/>
            <w:vAlign w:val="top"/>
          </w:tcPr>
          <w:p w14:paraId="42A8BE9D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420 mL</w:t>
            </w:r>
          </w:p>
        </w:tc>
        <w:tc>
          <w:tcPr>
            <w:tcW w:w="1332" w:type="dxa"/>
            <w:vAlign w:val="top"/>
          </w:tcPr>
          <w:p w14:paraId="0BC2F2D4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168 mL</w:t>
            </w:r>
          </w:p>
        </w:tc>
      </w:tr>
      <w:tr w14:paraId="745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1" w:type="dxa"/>
          </w:tcPr>
          <w:p w14:paraId="0840EE09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血清替代物</w:t>
            </w:r>
          </w:p>
          <w:p w14:paraId="22632F21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Serum Replacement（For Mouse Embryonic Stem Cells）</w:t>
            </w:r>
          </w:p>
        </w:tc>
        <w:tc>
          <w:tcPr>
            <w:tcW w:w="1915" w:type="dxa"/>
            <w:vAlign w:val="top"/>
          </w:tcPr>
          <w:p w14:paraId="6AC43240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SD-SRN-19001</w:t>
            </w:r>
          </w:p>
        </w:tc>
        <w:tc>
          <w:tcPr>
            <w:tcW w:w="1307" w:type="dxa"/>
            <w:vAlign w:val="top"/>
          </w:tcPr>
          <w:p w14:paraId="3C85CC09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75 mL</w:t>
            </w:r>
          </w:p>
        </w:tc>
        <w:tc>
          <w:tcPr>
            <w:tcW w:w="1332" w:type="dxa"/>
            <w:vAlign w:val="top"/>
          </w:tcPr>
          <w:p w14:paraId="69401B9F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30 mL</w:t>
            </w:r>
          </w:p>
        </w:tc>
      </w:tr>
      <w:tr w14:paraId="0219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021" w:type="dxa"/>
          </w:tcPr>
          <w:p w14:paraId="3B3DE3F2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小鼠ES培养添加物</w:t>
            </w:r>
          </w:p>
          <w:p w14:paraId="75AA6C8B">
            <w:pPr>
              <w:tabs>
                <w:tab w:val="left" w:pos="2496"/>
              </w:tabs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Supplement（For Mouse Embryonic Stem Cell Culture）</w:t>
            </w:r>
          </w:p>
        </w:tc>
        <w:tc>
          <w:tcPr>
            <w:tcW w:w="1915" w:type="dxa"/>
            <w:vAlign w:val="top"/>
          </w:tcPr>
          <w:p w14:paraId="6E6C9078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SD-MUXES-04062</w:t>
            </w:r>
          </w:p>
        </w:tc>
        <w:tc>
          <w:tcPr>
            <w:tcW w:w="1307" w:type="dxa"/>
            <w:vAlign w:val="top"/>
          </w:tcPr>
          <w:p w14:paraId="6D1CEBF6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5 mL</w:t>
            </w:r>
          </w:p>
        </w:tc>
        <w:tc>
          <w:tcPr>
            <w:tcW w:w="1332" w:type="dxa"/>
            <w:vAlign w:val="top"/>
          </w:tcPr>
          <w:p w14:paraId="09BE44EC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2 mL</w:t>
            </w:r>
          </w:p>
        </w:tc>
      </w:tr>
    </w:tbl>
    <w:p w14:paraId="54C210C5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2F7814E9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质量控制</w:t>
      </w:r>
    </w:p>
    <w:p w14:paraId="25A5660D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通过细菌、真菌、支原体、内毒素检测。</w:t>
      </w:r>
    </w:p>
    <w:p w14:paraId="055E5B73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通过渗透压、pH检测。</w:t>
      </w:r>
    </w:p>
    <w:p w14:paraId="6FFDAC17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通过产品性能检测。</w:t>
      </w:r>
    </w:p>
    <w:p w14:paraId="588C4632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0CB6E824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处理原则</w:t>
      </w:r>
    </w:p>
    <w:p w14:paraId="441313D7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严格的无菌环境。务必保证实验室整体和操作区域的清洁。</w:t>
      </w:r>
    </w:p>
    <w:p w14:paraId="2E0AC925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规范的操作方式。请按照产品说明书描述的方式操作，严格控制变量,做好对照实验.</w:t>
      </w:r>
    </w:p>
    <w:p w14:paraId="5ED57918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各成分需按照保存条件妥善存放，并尽快使用。</w:t>
      </w:r>
    </w:p>
    <w:p w14:paraId="7CF850ED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若短期内无法用完整套培养基，应按套装内各成分体积比例分批配制并分装保存。</w:t>
      </w:r>
    </w:p>
    <w:p w14:paraId="47FE0A05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711A5824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产品稳定性及保存条件</w:t>
      </w:r>
    </w:p>
    <w:p w14:paraId="12EB6338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套装内所有成分均需避光保存。</w:t>
      </w:r>
    </w:p>
    <w:p w14:paraId="08881F95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套装内基础培养基需置于4℃冰箱保存，保质期为1年；其他成分需置于-20℃保存，保质期为2年。</w:t>
      </w:r>
    </w:p>
    <w:p w14:paraId="4E2B4EB1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配制后的完全培养基，需放置4℃保存，保质期为1个月；若能保证培养条件稳定，容器密封性能良好，避免冷热交替，则保质期可适当延长，但不得超过45天。</w:t>
      </w:r>
    </w:p>
    <w:p w14:paraId="00270E12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所有产品请于保质期内使用；过期的成分可能严重影响培养效果。</w:t>
      </w:r>
    </w:p>
    <w:p w14:paraId="4DF7E6FE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6CAD7E59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完全培养基的配制</w:t>
      </w:r>
    </w:p>
    <w:p w14:paraId="751CE29D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一．所需材料</w:t>
      </w:r>
    </w:p>
    <w:p w14:paraId="3D7CB14B">
      <w:pPr>
        <w:numPr>
          <w:ilvl w:val="0"/>
          <w:numId w:val="4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SiDoTek™小鼠胚胎干细胞无血清培养基Ⅰ型（有饲养层）套装</w:t>
      </w:r>
    </w:p>
    <w:p w14:paraId="4873575D">
      <w:pPr>
        <w:numPr>
          <w:ilvl w:val="0"/>
          <w:numId w:val="4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清洁、无菌、质量稳定的一次性耗材（移液管、移液器吸头、离心管等）</w:t>
      </w:r>
    </w:p>
    <w:p w14:paraId="74698DA2">
      <w:pPr>
        <w:numPr>
          <w:ilvl w:val="0"/>
          <w:numId w:val="4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洁净的封口膜、铝箔纸等避光材料</w:t>
      </w:r>
    </w:p>
    <w:p w14:paraId="48E67973">
      <w:pPr>
        <w:numPr>
          <w:ilvl w:val="0"/>
          <w:numId w:val="5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操作步骤</w:t>
      </w:r>
    </w:p>
    <w:p w14:paraId="541C339C">
      <w:pPr>
        <w:numPr>
          <w:ilvl w:val="0"/>
          <w:numId w:val="6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配制前至少6 h，将套装中的SiDoTek™血清替代物放置于4℃冰箱内完全融化。</w:t>
      </w:r>
    </w:p>
    <w:p w14:paraId="3B15FCE1">
      <w:pPr>
        <w:numPr>
          <w:ilvl w:val="0"/>
          <w:numId w:val="6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配制前至少30 min，SiDoTek™小鼠ES培养添加物放置于室温内，直至完全融化。</w:t>
      </w:r>
    </w:p>
    <w:p w14:paraId="10C801CF">
      <w:pPr>
        <w:numPr>
          <w:ilvl w:val="0"/>
          <w:numId w:val="6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用75%医用酒精仔细擦拭所有成分外包装。在超净台内打开包装。</w:t>
      </w:r>
    </w:p>
    <w:p w14:paraId="2FCE34F4">
      <w:pPr>
        <w:numPr>
          <w:ilvl w:val="0"/>
          <w:numId w:val="6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将SiDoTek™血清替代物、SiDoTek™小鼠ES培养添加物全部加入SiDoTek™细胞基础培养基中。</w:t>
      </w:r>
    </w:p>
    <w:p w14:paraId="51104B8A">
      <w:pPr>
        <w:numPr>
          <w:ilvl w:val="0"/>
          <w:numId w:val="6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拧紧基础培养基瓶盖，轻柔并充分摇匀。</w:t>
      </w:r>
    </w:p>
    <w:p w14:paraId="394C4E65">
      <w:pPr>
        <w:numPr>
          <w:ilvl w:val="0"/>
          <w:numId w:val="6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用封口膜密封瓶口，用铝箔纸包裹瓶身，并标注名称、配制日期等信息。</w:t>
      </w:r>
    </w:p>
    <w:p w14:paraId="3FB0F16D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特别提醒</w:t>
      </w:r>
    </w:p>
    <w:p w14:paraId="3C3C4F48">
      <w:pPr>
        <w:numPr>
          <w:ilvl w:val="0"/>
          <w:numId w:val="0"/>
        </w:num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若短期内无法用完全部培养基，我们建议分批配制；请按照套装内各成分比例，配制所需量；但剩余的成分必须严格按照各自的保存条件妥善保存，并且不可多次冻融。请根据自己需求选择是否添加抗生素，如需添加请自购。</w:t>
      </w:r>
    </w:p>
    <w:p w14:paraId="48AC598F">
      <w:pPr>
        <w:numPr>
          <w:ilvl w:val="0"/>
          <w:numId w:val="0"/>
        </w:num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SiDoTek™小鼠胚胎干细胞无血清培养基Ⅰ型 （有饲养层） 套装内的所有成分都严格控制无菌，一般情况下我们不建议再次除菌。若配制过程有污染风险，可将完全培养基过滤除菌。</w:t>
      </w:r>
    </w:p>
    <w:p w14:paraId="2ECCA58B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</w:p>
    <w:p w14:paraId="7391FAF4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培养表面明胶包被</w:t>
      </w:r>
    </w:p>
    <w:p w14:paraId="1E9B8B33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一、所需材料</w:t>
      </w:r>
    </w:p>
    <w:p w14:paraId="2EBAF1D2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SiDoTek™ 0.1% Gelatin Solution（货号：SD-GLT-11301）</w:t>
      </w:r>
    </w:p>
    <w:p w14:paraId="7EFE4C32">
      <w:pPr>
        <w:numPr>
          <w:ilvl w:val="0"/>
          <w:numId w:val="7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操作步骤</w:t>
      </w:r>
    </w:p>
    <w:p w14:paraId="72071B3A">
      <w:pPr>
        <w:numPr>
          <w:ilvl w:val="0"/>
          <w:numId w:val="0"/>
        </w:num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注意：为了使小鼠胚胎干细胞在无血清的条件下更好的生长，强烈建议对培养器皿表面进行明胶包被。</w:t>
      </w:r>
    </w:p>
    <w:p w14:paraId="74CF1AFD">
      <w:pPr>
        <w:numPr>
          <w:ilvl w:val="0"/>
          <w:numId w:val="8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加入足量的0.1%的明胶溶液，使之覆盖整个培养器皿底部。</w:t>
      </w:r>
    </w:p>
    <w:p w14:paraId="496003F8">
      <w:pPr>
        <w:numPr>
          <w:ilvl w:val="0"/>
          <w:numId w:val="8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室温放置至少30 min。</w:t>
      </w:r>
    </w:p>
    <w:p w14:paraId="1527184B">
      <w:pPr>
        <w:numPr>
          <w:ilvl w:val="0"/>
          <w:numId w:val="8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如果不立即使用，可用封口膜封口放置于4℃保存。请在一周内使用完毕。</w:t>
      </w:r>
    </w:p>
    <w:p w14:paraId="66790D6A">
      <w:pPr>
        <w:numPr>
          <w:ilvl w:val="0"/>
          <w:numId w:val="8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使用前，吸去明胶溶液，晾干备用。</w:t>
      </w:r>
    </w:p>
    <w:p w14:paraId="1D144211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</w:p>
    <w:p w14:paraId="6FCEF2D4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小鼠胚胎干细胞培养条件的转换</w:t>
      </w:r>
    </w:p>
    <w:p w14:paraId="77F2E04E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一、所需材料</w:t>
      </w:r>
    </w:p>
    <w:p w14:paraId="6232A432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1. SiDoTek™ 0.25% Trypsin-0.04% EDTA（货号：SD-TEDTA-10001）</w:t>
      </w:r>
    </w:p>
    <w:p w14:paraId="6AEF5823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2. SiDoTek™ Phosphate-Buffered Saline (1×PBS) （货号：SD-PBS-10001）</w:t>
      </w:r>
    </w:p>
    <w:p w14:paraId="2F84A319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3. SiDoTek™ 小鼠胚胎干细胞无血清完全培养基（I型）（无血清有饲养层，货号： SD-MUXES-90062）</w:t>
      </w:r>
    </w:p>
    <w:p w14:paraId="5D81D535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4. SiDoTek™ 小鼠的胚胎干细胞完全培养基（有血清有饲养层，货号请见相关产品）</w:t>
      </w:r>
    </w:p>
    <w:p w14:paraId="25F3850A">
      <w:pPr>
        <w:numPr>
          <w:ilvl w:val="0"/>
          <w:numId w:val="9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操作步骤（有血清有饲养层→无血清无饲养层）</w:t>
      </w:r>
    </w:p>
    <w:p w14:paraId="2490A9A7">
      <w:pPr>
        <w:widowControl w:val="0"/>
        <w:numPr>
          <w:ilvl w:val="0"/>
          <w:numId w:val="10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按常规方法复苏饲养层（Feeder），按活细胞2.5×10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perscript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cells/cm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将Feeder细胞接种至明胶包被后的培养器皿中，24 h后用于实验。</w:t>
      </w:r>
    </w:p>
    <w:p w14:paraId="7351332A">
      <w:pPr>
        <w:widowControl w:val="0"/>
        <w:numPr>
          <w:ilvl w:val="0"/>
          <w:numId w:val="10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按常规方法复苏小鼠胚胎干细胞，或直接对培养在有血清有饲养层中的小鼠胚胎干细胞进行消化。</w:t>
      </w:r>
    </w:p>
    <w:p w14:paraId="5D4014C9">
      <w:pPr>
        <w:widowControl w:val="0"/>
        <w:numPr>
          <w:ilvl w:val="0"/>
          <w:numId w:val="10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250×g，5 min离心收集细胞。</w:t>
      </w:r>
    </w:p>
    <w:p w14:paraId="567021F7">
      <w:pPr>
        <w:widowControl w:val="0"/>
        <w:numPr>
          <w:ilvl w:val="0"/>
          <w:numId w:val="10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用原血清培养基重悬小鼠胚胎干细胞，全部接种至事先包被了明胶的培养器皿中，放置于37℃、5% CO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饱和湿度的CO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培养箱中培养30~40 min，尽可能去除原细胞群体中的  Feeder细胞。</w:t>
      </w:r>
    </w:p>
    <w:p w14:paraId="2D489565">
      <w:pPr>
        <w:widowControl w:val="0"/>
        <w:numPr>
          <w:ilvl w:val="0"/>
          <w:numId w:val="10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30~40 min后（具体时间以Feeder细胞贴壁程度来判断）收集上清培养基250×g，5 min离心。</w:t>
      </w:r>
    </w:p>
    <w:p w14:paraId="361316ED">
      <w:pPr>
        <w:widowControl w:val="0"/>
        <w:numPr>
          <w:ilvl w:val="0"/>
          <w:numId w:val="10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吸去上清培养基，用小鼠胚胎干细胞I型无血清完全培养基重悬细胞。按实验所需比例接种在预先准备好的Feeder细胞培养器皿中。</w:t>
      </w:r>
    </w:p>
    <w:p w14:paraId="382D4E3E">
      <w:pPr>
        <w:widowControl w:val="0"/>
        <w:numPr>
          <w:ilvl w:val="0"/>
          <w:numId w:val="10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加入足量小鼠胚胎干细胞I型无血清完全培养基，放入37℃、5% CO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饱和湿度的CO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培养箱培养。</w:t>
      </w:r>
    </w:p>
    <w:p w14:paraId="40BCCF8C">
      <w:pPr>
        <w:widowControl w:val="0"/>
        <w:numPr>
          <w:ilvl w:val="0"/>
          <w:numId w:val="10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次日观察首次在小鼠胚胎干细胞I型无血清完全培养基培养的小鼠胚胎干细胞，更换新鲜的小鼠胚胎干细胞I型完全培养基，以去除上一代残留的Feeder细胞以及因不适应无血清条件而死亡的ES细胞。</w:t>
      </w:r>
    </w:p>
    <w:p w14:paraId="07C1C577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</w:p>
    <w:p w14:paraId="019A90E9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无血清培养体系下小鼠ES的传代</w:t>
      </w:r>
    </w:p>
    <w:p w14:paraId="71A1494B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一、所需材料</w:t>
      </w:r>
    </w:p>
    <w:p w14:paraId="2E3DDF36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1. SiDoTek™ 0.25% Trypsin-0.04% EDTA（货号：SD-TEDTA-10001，以下简称胰酶）</w:t>
      </w:r>
    </w:p>
    <w:p w14:paraId="5C2A8356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2. SiDoTek™ Phosphate-Buffered Saline (1×PBS)（货号：SD-PBS-10001，以下简称PBS）</w:t>
      </w:r>
    </w:p>
    <w:p w14:paraId="20ECC1F6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3. SiDoTek™ 小鼠的胚胎干细胞完全培养基（有血清有饲养层，货号请见相关产品）</w:t>
      </w:r>
    </w:p>
    <w:p w14:paraId="2795FC45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4. SiDoTek™ 小鼠胚胎干细胞无血清完全培养基（I型）（无血清无饲养层，货号： SD-MUXES-90062）</w:t>
      </w:r>
    </w:p>
    <w:p w14:paraId="7369DCE9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二、操作步骤</w:t>
      </w:r>
    </w:p>
    <w:p w14:paraId="5D897FF4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1. 将小鼠胚胎干细胞I型无血清完全培养基、1×PBS、胰酶，温热至37℃。</w:t>
      </w:r>
    </w:p>
    <w:p w14:paraId="77B6C18B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2. 吸去小鼠胚胎干细胞培养器皿中旧的培养基。</w:t>
      </w:r>
    </w:p>
    <w:p w14:paraId="4DBCFF98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3. 1×PBS洗涤2~3次，以去除残留培养基。</w:t>
      </w:r>
    </w:p>
    <w:p w14:paraId="16C514C4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4. 加入胰酶（直径35 mm培养皿加入约1 mL，直径100 mm培养皿加入约2~3 mL）。轻轻旋转，使胰酶覆盖细胞表面，消化直至小鼠胚胎干细胞分离。</w:t>
      </w:r>
    </w:p>
    <w:p w14:paraId="7053CFFF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firstLine="422" w:firstLineChars="200"/>
        <w:jc w:val="both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注意：由于不同实验室所使用的胰酶效价不同，消化时间可能略有不同，具体时间应以显微镜下观察到的情况为准。</w:t>
      </w:r>
    </w:p>
    <w:p w14:paraId="434BF3BF">
      <w:pPr>
        <w:widowControl w:val="0"/>
        <w:numPr>
          <w:ilvl w:val="0"/>
          <w:numId w:val="8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加入2 mL或更多的小鼠胚胎干细胞完全培养基（含血清），用移液枪吸取液体，沿器皿边缘吹打细胞</w:t>
      </w:r>
      <w:r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可见细胞呈膜状脱落。将膜状物吸入枪头反复吹打几次</w:t>
      </w:r>
      <w:r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膜状物会逐渐变薄</w:t>
      </w:r>
      <w:r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ES细胞在吹打的过程中会从膜状物上脱落。随后吸去膜状物</w:t>
      </w:r>
      <w:r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将剩下的细胞悬液转移至离心管。</w:t>
      </w:r>
    </w:p>
    <w:p w14:paraId="04C76E62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firstLine="422" w:firstLineChars="20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（1）由于培养体系的特性，饲养层会形成较为致密的膜状物；消化过程中，能形成较为完整的膜然后脱壁，通过轻柔吹打便可达到饲养层与胚胎干细胞分离的目的；（2）消化时注意控制时间，防止饲养层膜因消化过度而破裂分散，吹打时动作需轻柔，不要产生气泡；（3）小鼠胚胎干细胞传代不必消化成单细胞悬液</w:t>
      </w: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消化成单个或 2~3个细胞团即可。</w:t>
      </w:r>
    </w:p>
    <w:p w14:paraId="70FA2FA7">
      <w:pPr>
        <w:widowControl w:val="0"/>
        <w:numPr>
          <w:ilvl w:val="0"/>
          <w:numId w:val="8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将上一步骤所得细胞悬液250×g离心5 min，吸去上清液。</w:t>
      </w:r>
    </w:p>
    <w:p w14:paraId="467C0CDC">
      <w:pPr>
        <w:widowControl w:val="0"/>
        <w:numPr>
          <w:ilvl w:val="0"/>
          <w:numId w:val="8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用2~3 mL小鼠胚胎干细胞I型无血清完全培养基重悬细胞。</w:t>
      </w:r>
    </w:p>
    <w:p w14:paraId="42501604">
      <w:pPr>
        <w:widowControl w:val="0"/>
        <w:numPr>
          <w:ilvl w:val="0"/>
          <w:numId w:val="8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按照(1~2)×10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perscript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个活细胞/cm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接种到预先准备好Feeder的培养器皿中。</w:t>
      </w:r>
    </w:p>
    <w:p w14:paraId="54D09574">
      <w:pPr>
        <w:widowControl w:val="0"/>
        <w:numPr>
          <w:ilvl w:val="0"/>
          <w:numId w:val="8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加入足够的小鼠胚胎干细胞I型无血清完全培养基，置于37℃、5% CO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饱和湿度的CO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培养箱中培养。</w:t>
      </w:r>
    </w:p>
    <w:p w14:paraId="2E28EE87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</w:p>
    <w:p w14:paraId="7E5DDE97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</w:p>
    <w:p w14:paraId="5AA672E1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</w:p>
    <w:p w14:paraId="0E85389D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</w:p>
    <w:p w14:paraId="1FC0C699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</w:p>
    <w:p w14:paraId="0D7E1FE7">
      <w:pPr>
        <w:numPr>
          <w:ilvl w:val="0"/>
          <w:numId w:val="0"/>
        </w:numPr>
        <w:tabs>
          <w:tab w:val="left" w:pos="2496"/>
        </w:tabs>
        <w:spacing w:line="360" w:lineRule="auto"/>
        <w:ind w:leftChars="0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</w:p>
    <w:p w14:paraId="308B247D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</w:p>
    <w:p w14:paraId="26801B9E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976A7"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904240</wp:posOffset>
              </wp:positionH>
              <wp:positionV relativeFrom="paragraph">
                <wp:posOffset>74295</wp:posOffset>
              </wp:positionV>
              <wp:extent cx="6103620" cy="692785"/>
              <wp:effectExtent l="0" t="0" r="11430" b="12065"/>
              <wp:wrapNone/>
              <wp:docPr id="5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103620" cy="692785"/>
                      </a:xfrm>
                      <a:custGeom>
                        <a:avLst/>
                        <a:gdLst>
                          <a:gd name="txL" fmla="*/ 2437 w 21600"/>
                          <a:gd name="txT" fmla="*/ 2437 h 21600"/>
                          <a:gd name="txR" fmla="*/ 19162 w 21600"/>
                          <a:gd name="txB" fmla="*/ 19162 h 21600"/>
                        </a:gdLst>
                        <a:ahLst/>
                        <a:cxnLst>
                          <a:cxn ang="0">
                            <a:pos x="20962" y="10800"/>
                          </a:cxn>
                          <a:cxn ang="90">
                            <a:pos x="10800" y="21600"/>
                          </a:cxn>
                          <a:cxn ang="180">
                            <a:pos x="637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275" y="21600"/>
                            </a:lnTo>
                            <a:lnTo>
                              <a:pt x="2032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8" o:spid="_x0000_s1026" o:spt="100" style="position:absolute;left:0pt;margin-left:71.2pt;margin-top:5.85pt;height:54.55pt;width:480.6pt;rotation:11796480f;z-index:251663360;mso-width-relative:page;mso-height-relative:page;" fillcolor="#8CBB35" filled="t" stroked="f" coordsize="21600,21600" o:gfxdata="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uYn5T1QAAAAsB&#10;AAAPAAAAAAAAAAEAIAAAACIAAABkcnMvZG93bnJldi54bWxQSwECFAAUAAAACACHTuJAIC2Ch8kC&#10;AABnBgAADgAAAAAAAAABACAAAAAkAQAAZHJzL2Uyb0RvYy54bWxQSwUGAAAAAAYABgBZAQAAXwYA&#10;AAAA&#10;" path="m0,0l1275,21600,20325,21600,21600,0xe">
              <v:path o:connectlocs="20962,10800;10800,21600;637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210820</wp:posOffset>
          </wp:positionV>
          <wp:extent cx="1811020" cy="721995"/>
          <wp:effectExtent l="0" t="0" r="17780" b="0"/>
          <wp:wrapNone/>
          <wp:docPr id="6" name="图片 11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-1138555</wp:posOffset>
              </wp:positionH>
              <wp:positionV relativeFrom="paragraph">
                <wp:posOffset>365125</wp:posOffset>
              </wp:positionV>
              <wp:extent cx="7585710" cy="414020"/>
              <wp:effectExtent l="0" t="0" r="15240" b="508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59460" y="5626735"/>
                        <a:ext cx="7585710" cy="414020"/>
                      </a:xfrm>
                      <a:prstGeom prst="rect">
                        <a:avLst/>
                      </a:prstGeom>
                      <a:solidFill>
                        <a:srgbClr val="45B2B4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-89.65pt;margin-top:28.75pt;height:32.6pt;width:597.3pt;z-index:251659264;mso-width-relative:page;mso-height-relative:page;" fillcolor="#45B2B4" filled="t" stroked="f" coordsize="21600,21600" o:gfxdata="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n1ZXbAAAADAEAAA8AAAAAAAAAAQAgAAAAIgAAAGRycy9kb3ducmV2LnhtbFBLAQIUABQAAAAI&#10;AIdO4kA6Zy5T6gEAALkDAAAOAAAAAAAAAAEAIAAAACoBAABkcnMvZTJvRG9jLnhtbFBLBQYAAAAA&#10;BgAGAFkBAACGBQAAAAA=&#10;">
              <v:fill on="t" opacity="39320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F5D68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-607060</wp:posOffset>
          </wp:positionV>
          <wp:extent cx="1633855" cy="651510"/>
          <wp:effectExtent l="0" t="0" r="0" b="0"/>
          <wp:wrapNone/>
          <wp:docPr id="4" name="图片 5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8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925195</wp:posOffset>
              </wp:positionH>
              <wp:positionV relativeFrom="paragraph">
                <wp:posOffset>-548640</wp:posOffset>
              </wp:positionV>
              <wp:extent cx="6003290" cy="678815"/>
              <wp:effectExtent l="0" t="0" r="16510" b="698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290" cy="678815"/>
                      </a:xfrm>
                      <a:custGeom>
                        <a:avLst/>
                        <a:gdLst>
                          <a:gd name="txL" fmla="*/ 2369 w 21600"/>
                          <a:gd name="txT" fmla="*/ 2369 h 21600"/>
                          <a:gd name="txR" fmla="*/ 19230 w 21600"/>
                          <a:gd name="txB" fmla="*/ 19230 h 21600"/>
                        </a:gdLst>
                        <a:ahLst/>
                        <a:cxnLst>
                          <a:cxn ang="0">
                            <a:pos x="21030" y="10800"/>
                          </a:cxn>
                          <a:cxn ang="90">
                            <a:pos x="10800" y="21600"/>
                          </a:cxn>
                          <a:cxn ang="180">
                            <a:pos x="569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39" y="21600"/>
                            </a:lnTo>
                            <a:lnTo>
                              <a:pt x="20461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45B2B4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4" o:spid="_x0000_s1026" o:spt="100" style="position:absolute;left:0pt;margin-left:72.85pt;margin-top:-43.2pt;height:53.45pt;width:472.7pt;z-index:251661312;mso-width-relative:page;mso-height-relative:page;" fillcolor="#45B2B4" filled="t" stroked="f" coordsize="21600,21600" o:gfxdata="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6h0S93QAA&#10;AAsBAAAPAAAAAAAAAAEAIAAAACIAAABkcnMvZG93bnJldi54bWxQSwECFAAUAAAACACHTuJA/jsb&#10;/sQCAABYBgAADgAAAAAAAAABACAAAAAsAQAAZHJzL2Uyb0RvYy54bWxQSwUGAAAAAAYABgBZAQAA&#10;YgYAAAAA&#10;" path="m0,0l1139,21600,20461,21600,21600,0xe">
              <v:path o:connectlocs="21030,10800;10800,21600;569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-551180</wp:posOffset>
              </wp:positionV>
              <wp:extent cx="6348095" cy="468630"/>
              <wp:effectExtent l="0" t="0" r="14605" b="762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4340" y="800100"/>
                        <a:ext cx="6348095" cy="468630"/>
                      </a:xfrm>
                      <a:custGeom>
                        <a:avLst/>
                        <a:gdLst>
                          <a:gd name="txL" fmla="*/ 2172 w 21600"/>
                          <a:gd name="txT" fmla="*/ 2172 h 21600"/>
                          <a:gd name="txR" fmla="*/ 19427 w 21600"/>
                          <a:gd name="txB" fmla="*/ 19427 h 21600"/>
                        </a:gdLst>
                        <a:ahLst/>
                        <a:cxnLst>
                          <a:cxn ang="0">
                            <a:pos x="21227" y="10800"/>
                          </a:cxn>
                          <a:cxn ang="90">
                            <a:pos x="10800" y="21600"/>
                          </a:cxn>
                          <a:cxn ang="180">
                            <a:pos x="372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745" y="21600"/>
                            </a:lnTo>
                            <a:lnTo>
                              <a:pt x="2085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3" o:spid="_x0000_s1026" o:spt="100" style="position:absolute;left:0pt;margin-left:42.75pt;margin-top:-43.4pt;height:36.9pt;width:499.85pt;z-index:251660288;mso-width-relative:page;mso-height-relative:page;" fillcolor="#8CBB35" filled="t" stroked="f" coordsize="21600,21600" o:gfxdata="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73Q7HZAAAACwEAAA8AAAAAAAAAAQAgAAAAIgAAAGRycy9kb3ducmV2LnhtbFBLAQIUABQAAAAI&#10;AIdO4kCNBcsm0AIAAGsGAAAOAAAAAAAAAAEAIAAAACgBAABkcnMvZTJvRG9jLnhtbFBLBQYAAAAA&#10;BgAGAFkBAABqBgAAAAA=&#10;" path="m0,0l745,21600,20855,21600,21600,0xe">
              <v:path o:connectlocs="21227,10800;10800,21600;372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3DC44"/>
    <w:multiLevelType w:val="singleLevel"/>
    <w:tmpl w:val="8C03DC44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BF614029"/>
    <w:multiLevelType w:val="singleLevel"/>
    <w:tmpl w:val="BF61402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1581AC0"/>
    <w:multiLevelType w:val="singleLevel"/>
    <w:tmpl w:val="D1581AC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4D5BC98"/>
    <w:multiLevelType w:val="singleLevel"/>
    <w:tmpl w:val="E4D5BC9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532F606"/>
    <w:multiLevelType w:val="singleLevel"/>
    <w:tmpl w:val="E532F60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316EB64"/>
    <w:multiLevelType w:val="singleLevel"/>
    <w:tmpl w:val="F316EB64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0B391068"/>
    <w:multiLevelType w:val="singleLevel"/>
    <w:tmpl w:val="0B39106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20E5A478"/>
    <w:multiLevelType w:val="singleLevel"/>
    <w:tmpl w:val="20E5A478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517BD848"/>
    <w:multiLevelType w:val="singleLevel"/>
    <w:tmpl w:val="517BD8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548E3424"/>
    <w:multiLevelType w:val="singleLevel"/>
    <w:tmpl w:val="548E34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2E3MDJkMmQxZDBiZDZmNmI4ZWUzNDNiOTAxZWYifQ=="/>
  </w:docVars>
  <w:rsids>
    <w:rsidRoot w:val="00000000"/>
    <w:rsid w:val="019955AC"/>
    <w:rsid w:val="141E72D3"/>
    <w:rsid w:val="2A886554"/>
    <w:rsid w:val="2AB607E6"/>
    <w:rsid w:val="2E277C09"/>
    <w:rsid w:val="2F305B4B"/>
    <w:rsid w:val="364E737F"/>
    <w:rsid w:val="5DE439B0"/>
    <w:rsid w:val="6A8B3FD6"/>
    <w:rsid w:val="6AFF04A8"/>
    <w:rsid w:val="6D0B1E05"/>
    <w:rsid w:val="73702076"/>
    <w:rsid w:val="757D7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2444</Words>
  <Characters>3159</Characters>
  <Lines>0</Lines>
  <Paragraphs>0</Paragraphs>
  <TotalTime>0</TotalTime>
  <ScaleCrop>false</ScaleCrop>
  <LinksUpToDate>false</LinksUpToDate>
  <CharactersWithSpaces>3246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2024-03-05T13:30:00Z</dcterms:created>
  <dc:creator>ASUS</dc:creator>
  <cp:lastModifiedBy>杨凯尧</cp:lastModifiedBy>
  <dcterms:modified xsi:type="dcterms:W3CDTF">2024-12-13T03:19:29Z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20DC37BDB0D64A7F9202799E5F6C71B4_13</vt:lpwstr>
  </property>
</Properties>
</file>