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A6737">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C57BL/6小鼠神经干细胞</w:t>
      </w:r>
      <w:bookmarkEnd w:id="0"/>
    </w:p>
    <w:p w14:paraId="4448742F">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NSC</w:t>
      </w:r>
      <w:r>
        <w:rPr>
          <w:rFonts w:hint="default"/>
        </w:rPr>
        <w:t>100</w:t>
      </w:r>
      <w:r>
        <w:rPr>
          <w:rFonts w:hint="eastAsia"/>
          <w:lang w:val="en-US" w:eastAsia="zh-CN"/>
        </w:rPr>
        <w:t>2</w:t>
      </w:r>
    </w:p>
    <w:p w14:paraId="7F108CB9">
      <w:pPr>
        <w:tabs>
          <w:tab w:val="left" w:pos="2496"/>
        </w:tabs>
        <w:spacing w:line="360" w:lineRule="auto"/>
        <w:rPr>
          <w:rFonts w:hint="default" w:ascii="Times New Roman" w:hAnsi="Times New Roman" w:cs="Times New Roman" w:eastAsiaTheme="minorEastAsia"/>
          <w:sz w:val="21"/>
          <w:szCs w:val="21"/>
          <w:lang w:eastAsia="zh-CN"/>
        </w:rPr>
      </w:pPr>
    </w:p>
    <w:p w14:paraId="750EFE0D">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71508570">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神经干细胞是多能干细胞可以分化为神经系统的多种细胞，包括神经元、星形胶质细胞、 少突胶质细胞等等。神经干细胞可以从哺乳动物大脑的不同区域和脊髓等神经系统中分离出来。神经干细胞有重建 神经环路的能力，因此具有治疗脑组织损伤的潜能，从而在神经退行性疾病动物模型、遗传性中枢神经系统疾病、中风和脊髓损伤等方面有着广泛的研究价值。SiDoTek™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C57BL/6小鼠神经干细胞来源于12.5天C57BL/6小鼠的大脑海马组织，以悬浮的神经球形式培养，在低代次冻存。可作为细胞模型应用于增殖、衰老、免疫、分化和移植研究。</w:t>
      </w:r>
    </w:p>
    <w:p w14:paraId="41361DEC">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3849E93F">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3C7ACB34">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4C8C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EE0E99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1E2CB88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C57BL/6小鼠神经干细胞</w:t>
            </w:r>
          </w:p>
        </w:tc>
      </w:tr>
      <w:tr w14:paraId="421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9E9CA5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40DC78C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NSC</w:t>
            </w:r>
            <w:r>
              <w:rPr>
                <w:rFonts w:hint="default"/>
              </w:rPr>
              <w:t>100</w:t>
            </w:r>
            <w:r>
              <w:rPr>
                <w:rFonts w:hint="eastAsia"/>
                <w:lang w:val="en-US" w:eastAsia="zh-CN"/>
              </w:rPr>
              <w:t>2</w:t>
            </w:r>
          </w:p>
        </w:tc>
      </w:tr>
      <w:tr w14:paraId="77D8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BA04F2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38ECC60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53E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255894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27D2774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102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778AF1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2970B8A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DFB7FF0">
      <w:pPr>
        <w:tabs>
          <w:tab w:val="left" w:pos="2496"/>
        </w:tabs>
        <w:spacing w:line="360" w:lineRule="auto"/>
        <w:rPr>
          <w:rFonts w:hint="default" w:ascii="Times New Roman" w:hAnsi="Times New Roman" w:cs="Times New Roman" w:eastAsiaTheme="minorEastAsia"/>
          <w:sz w:val="21"/>
          <w:szCs w:val="21"/>
          <w:lang w:val="en-US" w:eastAsia="zh-CN"/>
        </w:rPr>
      </w:pPr>
    </w:p>
    <w:p w14:paraId="7EF81C9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016D8BE1">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59051940">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通过细胞复苏活力检测，复苏存活率&gt;50%。</w:t>
      </w:r>
    </w:p>
    <w:p w14:paraId="30F2EDEE">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372AE186">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通过免疫荧光检测，表达Nestin（&gt; 75%），不表达GFAP，Tubulin（&lt; 10%）。</w:t>
      </w:r>
    </w:p>
    <w:p w14:paraId="2166EE4D">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具有良好的分化潜能，能向神经元、少突胶质细胞、星形胶质细胞分化等。</w:t>
      </w:r>
    </w:p>
    <w:p w14:paraId="096023DA">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0E21C7DE">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0CCA1908">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501D1601">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5B26779D">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304A24DD">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神经干细胞在体外增殖能力有限，且不能长期保持分化潜能。基于丰富的细胞培养经验和性能优异的培养体系，SiDoTek™ C57BL/6小鼠神经干细胞可在体外传代3次以上依然保持各项指标合格。但我们始终建议尽可能使用较低代次细胞进行科研工作。</w:t>
      </w:r>
    </w:p>
    <w:p w14:paraId="4E1E707B">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C57BL/6小鼠神经干细胞接种密度为（1.5~3）×10</w:t>
      </w:r>
      <w:r>
        <w:rPr>
          <w:rFonts w:hint="default" w:ascii="Times New Roman" w:hAnsi="Times New Roman" w:cs="Times New Roman" w:eastAsiaTheme="minorEastAsia"/>
          <w:sz w:val="21"/>
          <w:szCs w:val="21"/>
          <w:vertAlign w:val="superscript"/>
          <w:lang w:val="en-US" w:eastAsia="zh-CN"/>
        </w:rPr>
        <w:t>5</w:t>
      </w:r>
      <w:r>
        <w:rPr>
          <w:rFonts w:hint="default" w:ascii="Times New Roman" w:hAnsi="Times New Roman" w:cs="Times New Roman" w:eastAsiaTheme="minorEastAsia"/>
          <w:sz w:val="21"/>
          <w:szCs w:val="21"/>
          <w:lang w:val="en-US" w:eastAsia="zh-CN"/>
        </w:rPr>
        <w:t>个活细胞/mL。该细胞的生长与供体自身特性和后续培养体系的关系极大。我们建议根据各批次、各代次实际生长情况按比例传代培养。</w:t>
      </w:r>
    </w:p>
    <w:p w14:paraId="5DC0BB19">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38F40A0D">
      <w:pPr>
        <w:tabs>
          <w:tab w:val="left" w:pos="2496"/>
        </w:tabs>
        <w:spacing w:line="360" w:lineRule="auto"/>
        <w:rPr>
          <w:rFonts w:hint="default" w:ascii="Times New Roman" w:hAnsi="Times New Roman" w:cs="Times New Roman" w:eastAsiaTheme="minorEastAsia"/>
          <w:sz w:val="21"/>
          <w:szCs w:val="21"/>
          <w:lang w:val="en-US" w:eastAsia="zh-CN"/>
        </w:rPr>
      </w:pPr>
    </w:p>
    <w:p w14:paraId="7600253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2B19810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7E0DC5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C57BL/6小鼠神经干细胞</w:t>
      </w:r>
    </w:p>
    <w:p w14:paraId="33A5129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小鼠神经干细胞完全培养基（货号：SD-MUXNF-90011，以下简称完全培养基）</w:t>
      </w:r>
    </w:p>
    <w:p w14:paraId="47C8DDE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FDE4A56">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131C298F">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3A300D1C">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212AD22E">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27A858CC">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25C1CCCF">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5CAB6EE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2C30373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6A7DEC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51B42D3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细胞悬液以160×g离心5 min。</w:t>
      </w:r>
    </w:p>
    <w:p w14:paraId="330FE02C">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1D7EDEC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6182549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将细胞按（1.5~3）×10</w:t>
      </w:r>
      <w:r>
        <w:rPr>
          <w:rFonts w:hint="default" w:ascii="Times New Roman" w:hAnsi="Times New Roman" w:cs="Times New Roman" w:eastAsiaTheme="minorEastAsia"/>
          <w:sz w:val="21"/>
          <w:szCs w:val="21"/>
          <w:vertAlign w:val="superscript"/>
          <w:lang w:val="en-US" w:eastAsia="zh-CN"/>
        </w:rPr>
        <w:t>5</w:t>
      </w:r>
      <w:r>
        <w:rPr>
          <w:rFonts w:hint="default" w:ascii="Times New Roman" w:hAnsi="Times New Roman" w:cs="Times New Roman" w:eastAsiaTheme="minorEastAsia"/>
          <w:sz w:val="21"/>
          <w:szCs w:val="21"/>
          <w:lang w:val="en-US" w:eastAsia="zh-CN"/>
        </w:rPr>
        <w:t>个活细胞/mL的密度接种到培养器皿中，加入足量的完全培养基，吹打混匀。</w:t>
      </w:r>
    </w:p>
    <w:p w14:paraId="360C283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0645D84C">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注意：接种12 h内不可移动、观察细胞。这会造成细胞在容器内分布不均匀，相互粘连，神经球大小不一、形状不圆等情况。</w:t>
      </w:r>
    </w:p>
    <w:p w14:paraId="5758A28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6226D1A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注意：神经干细胞对温度敏感，较低的室内温度和过长的观察时间会造成神经球相互粘连。</w:t>
      </w:r>
    </w:p>
    <w:p w14:paraId="7504591F">
      <w:pPr>
        <w:tabs>
          <w:tab w:val="left" w:pos="2496"/>
        </w:tabs>
        <w:spacing w:line="360" w:lineRule="auto"/>
        <w:rPr>
          <w:rFonts w:hint="default" w:ascii="Times New Roman" w:hAnsi="Times New Roman" w:cs="Times New Roman" w:eastAsiaTheme="minorEastAsia"/>
          <w:b/>
          <w:bCs/>
          <w:sz w:val="21"/>
          <w:szCs w:val="21"/>
          <w:lang w:val="en-US" w:eastAsia="zh-CN"/>
        </w:rPr>
      </w:pPr>
    </w:p>
    <w:p w14:paraId="0B58F45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细胞的换液操作</w:t>
      </w:r>
    </w:p>
    <w:p w14:paraId="07A1F6F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4384D68">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小鼠神经干细胞完全培养基（货号：SD-MUXNF-90011）</w:t>
      </w:r>
    </w:p>
    <w:p w14:paraId="654E5ECC">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88E9C4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注意：为避免反复温热培养基，如果在一次操作中无法用完整瓶培养基，建议分装到适当的无菌容器中。换液时只取当天所需培养基量进行预热。</w:t>
      </w:r>
    </w:p>
    <w:p w14:paraId="2680092B">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镜下观察细胞，如果有细胞出现贴壁，尽量不要拍打培养器皿，以免其脱落。</w:t>
      </w:r>
    </w:p>
    <w:p w14:paraId="41E948E4">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用巴氏吸管将神经球悬液转移至离心管中。</w:t>
      </w:r>
    </w:p>
    <w:p w14:paraId="1F29B06A">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降低离心力为140×g，将神经球悬液离心4 min后，去除上清液。</w:t>
      </w:r>
    </w:p>
    <w:p w14:paraId="1F636C62">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向细胞沉淀物加入1 mL神经干细胞完全培养基，轻轻重悬细胞，注意不要将小神经球吹散。</w:t>
      </w:r>
    </w:p>
    <w:p w14:paraId="64FAC831">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将细胞悬液移入一个新的培养器皿中，加入足量的完全培养基，吹打混匀。</w:t>
      </w:r>
    </w:p>
    <w:p w14:paraId="1AF1C56A">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将细胞放入37℃、5%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34C04570">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之后，视培养液情况和细胞的生长情况进行换液或传代。一般无大量死细胞、细胞碎片和细胞贴壁，则无需换液。</w:t>
      </w:r>
    </w:p>
    <w:p w14:paraId="0C8567B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注意：当神经干细胞出现神经球较大（神经球中央暗淡）或部分神经球出现贴壁分化时需立即传代。一般情况下，C57BL/6小鼠神经干细胞2~3天传代一次。</w:t>
      </w:r>
    </w:p>
    <w:p w14:paraId="66A7CC4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1EE00526">
      <w:pPr>
        <w:tabs>
          <w:tab w:val="left" w:pos="2496"/>
        </w:tabs>
        <w:spacing w:line="360" w:lineRule="auto"/>
        <w:rPr>
          <w:rFonts w:hint="default" w:ascii="Times New Roman" w:hAnsi="Times New Roman" w:cs="Times New Roman" w:eastAsiaTheme="minorEastAsia"/>
          <w:b/>
          <w:bCs/>
          <w:sz w:val="21"/>
          <w:szCs w:val="21"/>
          <w:lang w:val="en-US" w:eastAsia="zh-CN"/>
        </w:rPr>
      </w:pPr>
    </w:p>
    <w:p w14:paraId="51C547FC">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40963DA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6C215B70">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Phosphate-Buffered Saline (1×PBS) （货号：SD-PBS-10001，以下简称PBS）</w:t>
      </w:r>
    </w:p>
    <w:p w14:paraId="12EDEE8D">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小鼠神经干细胞完全培养基（货号：SD-MUXNF-90011）</w:t>
      </w:r>
    </w:p>
    <w:p w14:paraId="55AFE76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3968983">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 将完全培养基预热至37℃。</w:t>
      </w:r>
    </w:p>
    <w:p w14:paraId="200CBAD0">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镜下观察细胞，如果有细胞出现贴壁，尽量不要拍打培养器皿，以免其脱落。</w:t>
      </w:r>
    </w:p>
    <w:p w14:paraId="5E217F6F">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 用巴氏吸管将神经球悬液转移至离心管。</w:t>
      </w:r>
    </w:p>
    <w:p w14:paraId="406E42F9">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 用PBS洗涤培养容器1次，注意动作轻柔，清洗全面，收集PBS。</w:t>
      </w:r>
    </w:p>
    <w:p w14:paraId="426D0A47">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5. 降低离心力为160×g，将神经球悬液离心4 min后，去除上清液。</w:t>
      </w:r>
    </w:p>
    <w:p w14:paraId="7F919F91">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6. 向细胞沉淀物加入1 mL神经干细胞完全培养基重悬细胞，将细胞悬液转移至5 mL EP管中，用1 mL枪头轻柔吹打细胞沉淀约15~20次，充分吹散，镜下观察见多数细胞是单个或两三个一团时，表明分散效果良好。（细胞量较多时可以将细胞悬液平均分到2~3个EP管中再吹打）。</w:t>
      </w:r>
    </w:p>
    <w:p w14:paraId="5E44630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360E7EF4">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7. 使EP管竖直静置1~2 min。</w:t>
      </w:r>
    </w:p>
    <w:p w14:paraId="2346B938">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8. 收集细胞，接种到T25培养瓶，轻轻吹打混匀，加入足量神经干细胞完全培养基，调整接种密度为（1.5~3）×10</w:t>
      </w:r>
      <w:r>
        <w:rPr>
          <w:rFonts w:hint="default" w:ascii="Times New Roman" w:hAnsi="Times New Roman" w:cs="Times New Roman" w:eastAsiaTheme="minorEastAsia"/>
          <w:b w:val="0"/>
          <w:bCs w:val="0"/>
          <w:sz w:val="21"/>
          <w:szCs w:val="21"/>
          <w:vertAlign w:val="superscript"/>
          <w:lang w:val="en-US" w:eastAsia="zh-CN"/>
        </w:rPr>
        <w:t>5</w:t>
      </w:r>
      <w:r>
        <w:rPr>
          <w:rFonts w:hint="default" w:ascii="Times New Roman" w:hAnsi="Times New Roman" w:cs="Times New Roman" w:eastAsiaTheme="minorEastAsia"/>
          <w:b w:val="0"/>
          <w:bCs w:val="0"/>
          <w:sz w:val="21"/>
          <w:szCs w:val="21"/>
          <w:lang w:val="en-US" w:eastAsia="zh-CN"/>
        </w:rPr>
        <w:t>个活细胞/mL。</w:t>
      </w:r>
    </w:p>
    <w:p w14:paraId="70A92883">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注意：不要吸到EP管管底的细胞团，这部分细胞不建议使用。</w:t>
      </w:r>
    </w:p>
    <w:p w14:paraId="70C22218">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9. 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47AC3DFE">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10. 传代次日，若出现大量死细胞、细胞碎片和细胞贴壁，则需更换培养基。</w:t>
      </w:r>
    </w:p>
    <w:p w14:paraId="201B3B5C">
      <w:pPr>
        <w:tabs>
          <w:tab w:val="left" w:pos="2496"/>
        </w:tabs>
        <w:spacing w:line="360" w:lineRule="auto"/>
        <w:rPr>
          <w:rFonts w:hint="default" w:ascii="Times New Roman" w:hAnsi="Times New Roman" w:cs="Times New Roman" w:eastAsiaTheme="minorEastAsia"/>
          <w:b/>
          <w:bCs/>
          <w:sz w:val="21"/>
          <w:szCs w:val="21"/>
          <w:lang w:val="en-US" w:eastAsia="zh-CN"/>
        </w:rPr>
      </w:pPr>
    </w:p>
    <w:p w14:paraId="4814944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细胞的鉴定</w:t>
      </w:r>
    </w:p>
    <w:p w14:paraId="137EBAC7">
      <w:pPr>
        <w:tabs>
          <w:tab w:val="left" w:pos="2496"/>
        </w:tabs>
        <w:spacing w:line="360" w:lineRule="auto"/>
        <w:ind w:firstLine="420"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神经干细胞在含EGF和FGF的无血清培养基中培养，去除分裂原后，神经干细胞会自发向神经元、星形胶质细胞、少突胶质细胞分化。除了自发分化，神经干细胞可在特定培养条件下向所诱导方向分化。神经干细胞在含血清培养基中培养大概7天，会自发分化为神经元细胞（16±7%）、星形胶质细胞（75±7%）、少突胶质细胞（5±3%）。</w:t>
      </w:r>
    </w:p>
    <w:p w14:paraId="788E032C">
      <w:pPr>
        <w:tabs>
          <w:tab w:val="left" w:pos="2496"/>
        </w:tabs>
        <w:spacing w:line="360" w:lineRule="auto"/>
        <w:rPr>
          <w:rFonts w:hint="default" w:ascii="Times New Roman" w:hAnsi="Times New Roman" w:cs="Times New Roman" w:eastAsiaTheme="minorEastAsia"/>
          <w:b/>
          <w:bCs/>
          <w:sz w:val="21"/>
          <w:szCs w:val="21"/>
          <w:lang w:val="en-US" w:eastAsia="zh-CN"/>
        </w:rPr>
      </w:pPr>
    </w:p>
    <w:p w14:paraId="5072A65A">
      <w:pPr>
        <w:tabs>
          <w:tab w:val="left" w:pos="2496"/>
        </w:tabs>
        <w:spacing w:line="360" w:lineRule="auto"/>
        <w:rPr>
          <w:rFonts w:hint="default" w:ascii="Times New Roman" w:hAnsi="Times New Roman" w:cs="Times New Roman" w:eastAsiaTheme="minorEastAsia"/>
          <w:b/>
          <w:bCs/>
          <w:sz w:val="21"/>
          <w:szCs w:val="21"/>
          <w:lang w:val="en-US" w:eastAsia="zh-CN"/>
        </w:rPr>
      </w:pPr>
    </w:p>
    <w:p w14:paraId="2FF5AE2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25EB2E2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49F44D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神经干无蛋白程序冻存液（货号：SD-GUXNX-07031）</w:t>
      </w:r>
    </w:p>
    <w:p w14:paraId="02F80C9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神经干无蛋白非程序冻存液（货号：SD-GUXNX-07021）</w:t>
      </w:r>
    </w:p>
    <w:p w14:paraId="29709E4E">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注意：SiDoTek™ 神经干无蛋白非程序冻存液是专用于神经干细胞的无蛋白冻存液，是一种化学成本明确的即用型冻存液，可直接放入-80℃冰箱冻存，不需要分步慢冻。</w:t>
      </w:r>
    </w:p>
    <w:p w14:paraId="5D8A8A76">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731DB43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细胞的收集请参考SiDoTek™ C57BL/6小鼠神经干细胞的传代操作中1~6步骤。</w:t>
      </w:r>
    </w:p>
    <w:p w14:paraId="50C4424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细胞收集后，取少量细胞悬液用血细胞计数板计数，计算细胞总数。</w:t>
      </w:r>
    </w:p>
    <w:p w14:paraId="5F84F64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细胞悬液经160×g离心4 min后，吸去上清液。</w:t>
      </w:r>
    </w:p>
    <w:p w14:paraId="4B0DDD2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用冻存液重悬细胞，调整细胞密度为1×10</w:t>
      </w:r>
      <w:r>
        <w:rPr>
          <w:rFonts w:hint="default" w:ascii="Times New Roman" w:hAnsi="Times New Roman" w:cs="Times New Roman" w:eastAsiaTheme="minorEastAsia"/>
          <w:sz w:val="21"/>
          <w:szCs w:val="21"/>
          <w:vertAlign w:val="superscript"/>
          <w:lang w:val="en-US" w:eastAsia="zh-CN"/>
        </w:rPr>
        <w:t>6</w:t>
      </w:r>
      <w:r>
        <w:rPr>
          <w:rFonts w:hint="default" w:ascii="Times New Roman" w:hAnsi="Times New Roman" w:cs="Times New Roman" w:eastAsiaTheme="minorEastAsia"/>
          <w:sz w:val="21"/>
          <w:szCs w:val="21"/>
          <w:lang w:val="en-US" w:eastAsia="zh-CN"/>
        </w:rPr>
        <w:t>个活细胞/mL（或希望达到的细胞密度）。</w:t>
      </w:r>
    </w:p>
    <w:p w14:paraId="126DF0C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1287C17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0ED0A4F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神经干无蛋白程序冻存液，将冻存管放入预冷的程序降温盒中，再将程序降温盒放入-80℃冰箱中。若选用SiDoTek™ 神经干无蛋白非程序冻存液，请将冻存管直接分散放入-80℃冰箱中。</w:t>
      </w:r>
    </w:p>
    <w:p w14:paraId="7518470B">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4E03496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24 h后即可将细胞转移入液氮长期保存。</w:t>
      </w:r>
    </w:p>
    <w:p w14:paraId="709D6904">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164E04FB">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731DB">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ADFD">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9AB8"/>
    <w:multiLevelType w:val="singleLevel"/>
    <w:tmpl w:val="875B9AB8"/>
    <w:lvl w:ilvl="0" w:tentative="0">
      <w:start w:val="1"/>
      <w:numFmt w:val="decimal"/>
      <w:suff w:val="space"/>
      <w:lvlText w:val="%1."/>
      <w:lvlJc w:val="left"/>
    </w:lvl>
  </w:abstractNum>
  <w:abstractNum w:abstractNumId="1">
    <w:nsid w:val="9995A2B3"/>
    <w:multiLevelType w:val="singleLevel"/>
    <w:tmpl w:val="9995A2B3"/>
    <w:lvl w:ilvl="0" w:tentative="0">
      <w:start w:val="2"/>
      <w:numFmt w:val="chineseCounting"/>
      <w:suff w:val="nothing"/>
      <w:lvlText w:val="%1．"/>
      <w:lvlJc w:val="left"/>
      <w:rPr>
        <w:rFonts w:hint="eastAsia"/>
      </w:rPr>
    </w:lvl>
  </w:abstractNum>
  <w:abstractNum w:abstractNumId="2">
    <w:nsid w:val="44BB95D5"/>
    <w:multiLevelType w:val="singleLevel"/>
    <w:tmpl w:val="44BB95D5"/>
    <w:lvl w:ilvl="0" w:tentative="0">
      <w:start w:val="1"/>
      <w:numFmt w:val="decimal"/>
      <w:suff w:val="space"/>
      <w:lvlText w:val="%1."/>
      <w:lvlJc w:val="left"/>
    </w:lvl>
  </w:abstractNum>
  <w:abstractNum w:abstractNumId="3">
    <w:nsid w:val="54F88A71"/>
    <w:multiLevelType w:val="singleLevel"/>
    <w:tmpl w:val="54F88A71"/>
    <w:lvl w:ilvl="0" w:tentative="0">
      <w:start w:val="1"/>
      <w:numFmt w:val="decimal"/>
      <w:suff w:val="space"/>
      <w:lvlText w:val="%1."/>
      <w:lvlJc w:val="left"/>
    </w:lvl>
  </w:abstractNum>
  <w:abstractNum w:abstractNumId="4">
    <w:nsid w:val="5B7624C0"/>
    <w:multiLevelType w:val="singleLevel"/>
    <w:tmpl w:val="5B7624C0"/>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00EC73E0"/>
    <w:rsid w:val="039C26E7"/>
    <w:rsid w:val="141E72D3"/>
    <w:rsid w:val="281303D7"/>
    <w:rsid w:val="281B7721"/>
    <w:rsid w:val="289666D0"/>
    <w:rsid w:val="2A886554"/>
    <w:rsid w:val="2E277C09"/>
    <w:rsid w:val="36BB29CB"/>
    <w:rsid w:val="505D4C08"/>
    <w:rsid w:val="5D8A7BAD"/>
    <w:rsid w:val="5E1B16CF"/>
    <w:rsid w:val="5EA67D62"/>
    <w:rsid w:val="5F331A3A"/>
    <w:rsid w:val="60195182"/>
    <w:rsid w:val="67265EE2"/>
    <w:rsid w:val="67952F01"/>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2963</Words>
  <Characters>3510</Characters>
  <Lines>0</Lines>
  <Paragraphs>0</Paragraphs>
  <TotalTime>0</TotalTime>
  <ScaleCrop>false</ScaleCrop>
  <LinksUpToDate>false</LinksUpToDate>
  <CharactersWithSpaces>3588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