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897E6">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SD大鼠骨髓间充质干细胞</w:t>
      </w:r>
    </w:p>
    <w:p w14:paraId="2AD5B87B">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r>
        <w:rPr>
          <w:rFonts w:hint="eastAsia"/>
          <w:lang w:val="en-US" w:eastAsia="zh-CN"/>
        </w:rPr>
        <w:t>BMSC</w:t>
      </w:r>
      <w:r>
        <w:rPr>
          <w:rFonts w:hint="eastAsia"/>
        </w:rPr>
        <w:t>100</w:t>
      </w:r>
      <w:r>
        <w:rPr>
          <w:rFonts w:hint="eastAsia"/>
          <w:lang w:val="en-US" w:eastAsia="zh-CN"/>
        </w:rPr>
        <w:t>4</w:t>
      </w:r>
      <w:bookmarkStart w:id="0" w:name="_GoBack"/>
      <w:bookmarkEnd w:id="0"/>
    </w:p>
    <w:p w14:paraId="666728BD">
      <w:pPr>
        <w:tabs>
          <w:tab w:val="left" w:pos="2496"/>
        </w:tabs>
        <w:spacing w:line="360" w:lineRule="auto"/>
        <w:rPr>
          <w:rFonts w:hint="default" w:ascii="Times New Roman" w:hAnsi="Times New Roman" w:cs="Times New Roman" w:eastAsiaTheme="minorEastAsia"/>
          <w:sz w:val="21"/>
          <w:szCs w:val="21"/>
          <w:lang w:val="en-US" w:eastAsia="zh-CN"/>
        </w:rPr>
      </w:pPr>
    </w:p>
    <w:p w14:paraId="70524B9D">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131131EC">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骨髓</w:t>
      </w:r>
      <w:r>
        <w:rPr>
          <w:rFonts w:hint="default" w:ascii="Times New Roman" w:hAnsi="Times New Roman" w:cs="Times New Roman" w:eastAsiaTheme="minorEastAsia"/>
          <w:sz w:val="21"/>
          <w:szCs w:val="21"/>
          <w:lang w:eastAsia="zh-CN"/>
        </w:rPr>
        <w:t>间充质干细胞是一类存在于</w:t>
      </w:r>
      <w:r>
        <w:rPr>
          <w:rFonts w:hint="default" w:ascii="Times New Roman" w:hAnsi="Times New Roman" w:cs="Times New Roman" w:eastAsiaTheme="minorEastAsia"/>
          <w:sz w:val="21"/>
          <w:szCs w:val="21"/>
          <w:lang w:val="en-US" w:eastAsia="zh-CN"/>
        </w:rPr>
        <w:t>骨髓</w:t>
      </w:r>
      <w:r>
        <w:rPr>
          <w:rFonts w:hint="default" w:ascii="Times New Roman" w:hAnsi="Times New Roman" w:cs="Times New Roman" w:eastAsiaTheme="minorEastAsia"/>
          <w:sz w:val="21"/>
          <w:szCs w:val="21"/>
          <w:lang w:eastAsia="zh-CN"/>
        </w:rPr>
        <w:t>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能力和免疫调节功能，被广泛应用于组织工程、细胞治疗和基因治疗领域。SD大鼠骨髓间充质干细胞作为一个研究热点被广泛应用于再生医学和组织工程，特别是在骨、心血管和神经系统等疾病领域。SiDoTek™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SD大鼠骨髓间充质干细胞取自SD大鼠的骨髓，拥有强大的增殖和多向分化能力。可作为细胞模型应用于增殖、衰老、免疫、分化和移植研究。</w:t>
      </w:r>
    </w:p>
    <w:p w14:paraId="2B986C61">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72076D8A">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13E9BE35">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1F60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AF02D5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594B3ED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SD大鼠骨髓间充质干细胞</w:t>
            </w:r>
          </w:p>
        </w:tc>
      </w:tr>
      <w:tr w14:paraId="1AC5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280F9BB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5B64FB3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lang w:val="en-US" w:eastAsia="zh-CN"/>
              </w:rPr>
              <w:t>BMSC</w:t>
            </w:r>
            <w:r>
              <w:rPr>
                <w:rFonts w:hint="eastAsia"/>
              </w:rPr>
              <w:t>100</w:t>
            </w:r>
            <w:r>
              <w:rPr>
                <w:rFonts w:hint="eastAsia"/>
                <w:lang w:val="en-US" w:eastAsia="zh-CN"/>
              </w:rPr>
              <w:t>4</w:t>
            </w:r>
          </w:p>
        </w:tc>
      </w:tr>
      <w:tr w14:paraId="1884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DD4DBA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2765121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1560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59BE4F7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1A00685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3AA1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09CA289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462C97F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3A9DAAA6">
      <w:pPr>
        <w:tabs>
          <w:tab w:val="left" w:pos="2496"/>
        </w:tabs>
        <w:spacing w:line="360" w:lineRule="auto"/>
        <w:rPr>
          <w:rFonts w:hint="default" w:ascii="Times New Roman" w:hAnsi="Times New Roman" w:cs="Times New Roman" w:eastAsiaTheme="minorEastAsia"/>
          <w:sz w:val="21"/>
          <w:szCs w:val="21"/>
          <w:lang w:val="en-US" w:eastAsia="zh-CN"/>
        </w:rPr>
      </w:pPr>
    </w:p>
    <w:p w14:paraId="51134F6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042598BE">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16C67FBA">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0F8CBA75">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631301C9">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通过流式检测，CD29、CD44、CD90为阳性（&gt;70%）；CD34、CD45、CD11b为阴性（&lt;5%）。</w:t>
      </w:r>
    </w:p>
    <w:p w14:paraId="0B6B74D1">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具有良好的分化能力，可经诱导分化为成骨细胞、骨髓细胞、软骨细胞等。</w:t>
      </w:r>
    </w:p>
    <w:p w14:paraId="6AB9526C">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4C601693">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368B6FA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7625630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1A278E15">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7E1520FE">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骨髓间充质干细胞在体外增殖能力有限，且不能长期保持分化潜能。基于丰富的细胞培养经验和性能优异的培养体系，SiDoTek™ SD大鼠骨髓间充质干细胞可在体外传代5次以上依然保持各项指标合格。但我们始终建议尽可能使用较低代次细胞进行科研工作。</w:t>
      </w:r>
    </w:p>
    <w:p w14:paraId="3741FE6B">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SD大鼠骨髓间充质干细胞接种密度为（2.5~4）×10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132EFC99">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3A35662F">
      <w:pPr>
        <w:tabs>
          <w:tab w:val="left" w:pos="2496"/>
        </w:tabs>
        <w:spacing w:line="360" w:lineRule="auto"/>
        <w:rPr>
          <w:rFonts w:hint="default" w:ascii="Times New Roman" w:hAnsi="Times New Roman" w:cs="Times New Roman" w:eastAsiaTheme="minorEastAsia"/>
          <w:sz w:val="21"/>
          <w:szCs w:val="21"/>
          <w:lang w:val="en-US" w:eastAsia="zh-CN"/>
        </w:rPr>
      </w:pPr>
    </w:p>
    <w:p w14:paraId="3CA59F2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28E97E8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139BCE1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SD大鼠骨髓间充质干细胞</w:t>
      </w:r>
    </w:p>
    <w:p w14:paraId="50944C8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大鼠骨髓间充质干细胞完全培养基（货号：SD-RAXMX-90011，以下简称完全培养基）</w:t>
      </w:r>
    </w:p>
    <w:p w14:paraId="52AF6B08">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00896244">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2BE05D47">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64CEA099">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3BF3ACF7">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31802468">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0860B82C">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40EFFFBC">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5899BD8A">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0A9B0DF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03EE8F29">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406F6302">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563A6B25">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58AE7BF4">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将细胞接种到1个T25培养瓶或底面积相当的培养容器中。加入足量完全培养基，1个 T25培养瓶中培养基总量不少于5</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mL。</w:t>
      </w:r>
    </w:p>
    <w:p w14:paraId="1860B27D">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5C541704">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32198C8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6CDA24E6">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 xml:space="preserve">注意：若发现较多漂浮细胞或其他异常情况，应及时排查原因，并与我们联系。 </w:t>
      </w:r>
    </w:p>
    <w:p w14:paraId="245D0F06">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之后，每2天更换一次完全培养基，直到细胞生长至90%汇合，即需传代。</w:t>
      </w:r>
    </w:p>
    <w:p w14:paraId="0E9CFE1A">
      <w:pPr>
        <w:tabs>
          <w:tab w:val="left" w:pos="2496"/>
        </w:tabs>
        <w:spacing w:line="360" w:lineRule="auto"/>
        <w:rPr>
          <w:rFonts w:hint="default" w:ascii="Times New Roman" w:hAnsi="Times New Roman" w:cs="Times New Roman" w:eastAsiaTheme="minorEastAsia"/>
          <w:sz w:val="21"/>
          <w:szCs w:val="21"/>
          <w:lang w:val="en-US" w:eastAsia="zh-CN"/>
        </w:rPr>
      </w:pPr>
    </w:p>
    <w:p w14:paraId="2EBC373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501AA71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2B705ACA">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72CA5D5F">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3B34AC0A">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大鼠骨髓间充质干细胞完全培养基（货号：SD-RAXMX-90011）</w:t>
      </w:r>
    </w:p>
    <w:p w14:paraId="5B6DFB2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695D04C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将完全培养基、PBS、胰酶预热至37℃。</w:t>
      </w:r>
    </w:p>
    <w:p w14:paraId="439EBDDB">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吸去培养容器中的培养基。</w:t>
      </w:r>
    </w:p>
    <w:p w14:paraId="71D6E8E4">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用PBS（T25培养瓶加入约3 mL，T75培养瓶加入约6 mL）洗涤细胞2次，注意动作轻柔，清洗全面。吸去PBS。</w:t>
      </w:r>
    </w:p>
    <w:p w14:paraId="6D202DDB">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加入胰酶（T25培养瓶加入约1.5 mL，T75培养瓶加入约3 mL），迅速铺匀，保证充分接触细胞表面。</w:t>
      </w:r>
    </w:p>
    <w:p w14:paraId="1DFCF35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显微镜下观察消化情况，约70%~80%细胞收缩变圆后，轻拍培养容器外壁，使细胞脱离培养表面。</w:t>
      </w:r>
    </w:p>
    <w:p w14:paraId="5D808495">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立即加入完全培养基（T25培养瓶加入约3 mL，T75培养瓶加入约6 mL），随即轻摇培养容器，使培养基和胰酶迅速混匀，终止消化。</w:t>
      </w:r>
    </w:p>
    <w:p w14:paraId="6F72180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使用吸管或移液管吸取细胞悬液，吹打培养容器底面数次，尽可能将细胞都吹打下来。</w:t>
      </w:r>
    </w:p>
    <w:p w14:paraId="004E5C60">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7D09DE5F">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340AE1B4">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428BD5F4">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4EE99178">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将大鼠骨髓间充质干细胞按 (2.5~4) ×10⁴个活细胞/cm²的密度，接种至适宜的培养容器内。</w:t>
      </w:r>
    </w:p>
    <w:p w14:paraId="7BB682BE">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SD大鼠骨髓间充质干细胞对于细胞密度有较高的要求，我们建议有条件且计数效率较高的情况下，进行手工计数，以期获得精准的细胞浓度指导接种；在没有精确计数条件的情况下，按照适宜比例传代是更好的方法。通常SiDoTek™ SD大鼠骨髓间充质干细胞的传代比例为1:3，72 h内生长至可传代汇合度。请根据细胞实际生长情况调整传代比例。</w:t>
      </w:r>
    </w:p>
    <w:p w14:paraId="1C3EDEC4">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5AA370DE">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5C161FD7">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待细胞生长至 90%汇合，即需传代或冻存。</w:t>
      </w:r>
    </w:p>
    <w:p w14:paraId="761F0687">
      <w:pPr>
        <w:numPr>
          <w:ilvl w:val="0"/>
          <w:numId w:val="0"/>
        </w:numPr>
        <w:tabs>
          <w:tab w:val="left" w:pos="2496"/>
        </w:tabs>
        <w:spacing w:line="360" w:lineRule="auto"/>
        <w:ind w:leftChars="0"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SD大鼠骨髓间充质干细胞每代生长时间不超过72h，中途不需要换液。频繁换液会破坏构建起的细胞微环境。</w:t>
      </w:r>
    </w:p>
    <w:p w14:paraId="03D0E219">
      <w:pPr>
        <w:tabs>
          <w:tab w:val="left" w:pos="2496"/>
        </w:tabs>
        <w:spacing w:line="360" w:lineRule="auto"/>
        <w:rPr>
          <w:rFonts w:hint="default" w:ascii="Times New Roman" w:hAnsi="Times New Roman" w:cs="Times New Roman" w:eastAsiaTheme="minorEastAsia"/>
          <w:b/>
          <w:bCs/>
          <w:sz w:val="21"/>
          <w:szCs w:val="21"/>
          <w:lang w:val="en-US" w:eastAsia="zh-CN"/>
        </w:rPr>
      </w:pPr>
    </w:p>
    <w:p w14:paraId="0DAC106F">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504ADB5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232CAC2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4B95495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248DB248">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5315FB3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14:paraId="32DC86D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5C85E07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细胞消化请参考SiDoTek™ SD大鼠骨髓间充质干细胞的传代操作步骤1~9。</w:t>
      </w:r>
    </w:p>
    <w:p w14:paraId="5A7075A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离心后去除上清，用适量冻存液均匀重悬细胞，对细胞进行计数。</w:t>
      </w:r>
    </w:p>
    <w:p w14:paraId="482D573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将细胞按比例或数量分装至冻存管中。</w:t>
      </w:r>
    </w:p>
    <w:p w14:paraId="476EB68D">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5562026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通用血清型程序冻存液，将冻存管放入预冷的程序降温盒中，再将程序降温盒放入-80℃冰箱中。若选用SiDoTek™</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通用无蛋白非程序冻存液，请将冻存管直接分散放入-80℃冰箱中。</w:t>
      </w:r>
    </w:p>
    <w:p w14:paraId="371B09B3">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7FAE2DE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6A5A1721">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745DFB36">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1DE2">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D102C">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A2B3"/>
    <w:multiLevelType w:val="singleLevel"/>
    <w:tmpl w:val="9995A2B3"/>
    <w:lvl w:ilvl="0" w:tentative="0">
      <w:start w:val="2"/>
      <w:numFmt w:val="chineseCounting"/>
      <w:suff w:val="nothing"/>
      <w:lvlText w:val="%1．"/>
      <w:lvlJc w:val="left"/>
      <w:rPr>
        <w:rFonts w:hint="eastAsia"/>
      </w:rPr>
    </w:lvl>
  </w:abstractNum>
  <w:abstractNum w:abstractNumId="1">
    <w:nsid w:val="44BB95D5"/>
    <w:multiLevelType w:val="singleLevel"/>
    <w:tmpl w:val="44BB95D5"/>
    <w:lvl w:ilvl="0" w:tentative="0">
      <w:start w:val="1"/>
      <w:numFmt w:val="decimal"/>
      <w:suff w:val="space"/>
      <w:lvlText w:val="%1."/>
      <w:lvlJc w:val="left"/>
    </w:lvl>
  </w:abstractNum>
  <w:abstractNum w:abstractNumId="2">
    <w:nsid w:val="54F88A71"/>
    <w:multiLevelType w:val="singleLevel"/>
    <w:tmpl w:val="54F88A71"/>
    <w:lvl w:ilvl="0" w:tentative="0">
      <w:start w:val="1"/>
      <w:numFmt w:val="decimal"/>
      <w:suff w:val="space"/>
      <w:lvlText w:val="%1."/>
      <w:lvlJc w:val="left"/>
    </w:lvl>
  </w:abstractNum>
  <w:abstractNum w:abstractNumId="3">
    <w:nsid w:val="5B7624C0"/>
    <w:multiLevelType w:val="singleLevel"/>
    <w:tmpl w:val="5B7624C0"/>
    <w:lvl w:ilvl="0" w:tentative="0">
      <w:start w:val="1"/>
      <w:numFmt w:val="decimal"/>
      <w:suff w:val="space"/>
      <w:lvlText w:val="%1."/>
      <w:lvlJc w:val="left"/>
    </w:lvl>
  </w:abstractNum>
  <w:abstractNum w:abstractNumId="4">
    <w:nsid w:val="6D3611DE"/>
    <w:multiLevelType w:val="singleLevel"/>
    <w:tmpl w:val="6D3611DE"/>
    <w:lvl w:ilvl="0" w:tentative="0">
      <w:start w:val="1"/>
      <w:numFmt w:val="decimal"/>
      <w:suff w:val="space"/>
      <w:lvlText w:val="%1."/>
      <w:lvlJc w:val="left"/>
      <w:rPr>
        <w:rFonts w:hint="default"/>
        <w:b w:val="0"/>
        <w:bCs w:val="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81303D7"/>
    <w:rsid w:val="289666D0"/>
    <w:rsid w:val="2A886554"/>
    <w:rsid w:val="2E277C09"/>
    <w:rsid w:val="30C90295"/>
    <w:rsid w:val="36BB29CB"/>
    <w:rsid w:val="45D0746E"/>
    <w:rsid w:val="489B7BD1"/>
    <w:rsid w:val="505D4C08"/>
    <w:rsid w:val="5D8A7BAD"/>
    <w:rsid w:val="5E1B16CF"/>
    <w:rsid w:val="5EA67D62"/>
    <w:rsid w:val="5F331A3A"/>
    <w:rsid w:val="60195182"/>
    <w:rsid w:val="67265EE2"/>
    <w:rsid w:val="67952F01"/>
    <w:rsid w:val="67B52730"/>
    <w:rsid w:val="6A8B3FD6"/>
    <w:rsid w:val="6D0B1E05"/>
    <w:rsid w:val="6EE204A3"/>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2668</Words>
  <Characters>3177</Characters>
  <Lines>0</Lines>
  <Paragraphs>0</Paragraphs>
  <TotalTime>0</TotalTime>
  <ScaleCrop>false</ScaleCrop>
  <LinksUpToDate>false</LinksUpToDate>
  <CharactersWithSpaces>3254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