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First Strand cDNA Synthesis Kit (with dsDNase)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 xml:space="preserve">  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第一链反转录试剂盒（含双链特异性DNA酶）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DMR2-2a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储存条件：-30 ~ -15℃保存2年，≤0℃运输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0"/>
          <w:szCs w:val="20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产品内容：</w:t>
      </w:r>
    </w:p>
    <w:tbl>
      <w:tblPr>
        <w:tblStyle w:val="5"/>
        <w:tblW w:w="4823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611"/>
        <w:gridCol w:w="24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588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DMR2-2a</w:t>
            </w:r>
          </w:p>
        </w:tc>
        <w:tc>
          <w:tcPr>
            <w:tcW w:w="1468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DMR2-3a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 gDNA Eraser Mix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 RT Buffer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10×Enzyme Mix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Oligo(dT)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VN Primer (50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μM)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Random Primers N6 (50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μM)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1588" w:type="pct"/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2×100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2×1 mL</w:t>
            </w:r>
          </w:p>
        </w:tc>
      </w:tr>
    </w:tbl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4"/>
          <w:szCs w:val="24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SiDoTek™</w:t>
      </w:r>
      <w:r>
        <w:rPr>
          <w:rFonts w:hint="default" w:ascii="Times New Roman" w:hAnsi="Times New Roman" w:cs="Times New Roman"/>
          <w:sz w:val="18"/>
          <w:szCs w:val="18"/>
        </w:rPr>
        <w:t xml:space="preserve"> First Strand cDNA Synthesis Kit (with dsDNase)是一款含有基因组去除组分的第一链cDNA合成试剂盒，可高效去除RNA中的基因组DNA污染。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试剂盒中包含合成高质量第一链 cDNA所需的所有成分，产物可作为模板适用于后续的PCR、qPCR等实验。5×RT Buffer 中包含优化的缓冲体系和dNTP；10</w: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eastAsia="zh-CN"/>
        </w:rPr>
        <w:t>×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Enzyme Mix中包含 Heat-stable Reverse Transcriptase和RNase inhibitor。本试剂盒采用的Oligo (dT)</w:t>
      </w:r>
      <w:r>
        <w:rPr>
          <w:rFonts w:hint="default" w:ascii="Times New Roman" w:hAnsi="Times New Roman" w:cs="Times New Roman"/>
          <w:sz w:val="18"/>
          <w:szCs w:val="18"/>
          <w:vertAlign w:val="subscript"/>
          <w:lang w:eastAsia="zh-CN"/>
        </w:rPr>
        <w:t>23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VN比传统的Oligo (dT)</w:t>
      </w:r>
      <w:r>
        <w:rPr>
          <w:rFonts w:hint="default" w:ascii="Times New Roman" w:hAnsi="Times New Roman" w:cs="Times New Roman"/>
          <w:sz w:val="18"/>
          <w:szCs w:val="18"/>
          <w:vertAlign w:val="subscript"/>
          <w:lang w:eastAsia="zh-CN"/>
        </w:rPr>
        <w:t>18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对于Poly A+ mRNA的锚定能力更强，使得逆转录效率更高。用户可根据实验的具体需要，自行选择Oligo (dT)</w:t>
      </w:r>
      <w:r>
        <w:rPr>
          <w:rFonts w:hint="default" w:ascii="Times New Roman" w:hAnsi="Times New Roman" w:cs="Times New Roman"/>
          <w:sz w:val="18"/>
          <w:szCs w:val="18"/>
          <w:vertAlign w:val="subscript"/>
          <w:lang w:eastAsia="zh-CN"/>
        </w:rPr>
        <w:t>23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VN、Random Primers N6或基因特异引物作为逆转录引物。当模板是带Poly A尾的真核生物mRNA和一些带Poly A尾的病毒RNA，反转录引物可以选择Oligo(dT)</w:t>
      </w:r>
      <w:r>
        <w:rPr>
          <w:rFonts w:hint="default" w:ascii="Times New Roman" w:hAnsi="Times New Roman" w:cs="Times New Roman"/>
          <w:sz w:val="18"/>
          <w:szCs w:val="18"/>
          <w:vertAlign w:val="subscript"/>
          <w:lang w:eastAsia="zh-CN"/>
        </w:rPr>
        <w:t>18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(0.5 μg /μl)。原核生物或者不带Poly A尾的病毒mRNA无法使用Oligo dT 作为引物，因此反转录引物只能选择Random Primer N6(0.1 μg/μl)。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用于第一链cDNA合成。可用于高拷贝、低拷贝基因的检测。也可用于cDNA片段长度12 kb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以内的合成。</w:t>
      </w:r>
    </w:p>
    <w:p>
      <w:pPr>
        <w:widowControl/>
        <w:spacing w:line="240" w:lineRule="auto"/>
        <w:rPr>
          <w:rFonts w:hint="default" w:ascii="Times New Roman" w:hAnsi="Times New Roman" w:cs="Times New Roman"/>
          <w:sz w:val="16"/>
          <w:szCs w:val="16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操作过程严格避免RNase污染。为保证反转录成功，建议使用高质量的RNA样品。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2. 为避免样品间交叉污染和气溶胶污染，推荐在超净台或生物安全柜中进行反应体系的配制,并使用带滤芯的吸头。 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3. </w:t>
      </w:r>
      <w:bookmarkStart w:id="2" w:name="_GoBack"/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注意</w:t>
      </w:r>
      <w:r>
        <w:rPr>
          <w:rFonts w:hint="eastAsia" w:ascii="Times New Roman" w:hAnsi="Times New Roman" w:cs="Times New Roman"/>
          <w:b/>
          <w:bCs/>
          <w:sz w:val="18"/>
          <w:szCs w:val="18"/>
          <w:lang w:eastAsia="zh-CN"/>
        </w:rPr>
        <w:t>：</w:t>
      </w:r>
      <w:bookmarkEnd w:id="2"/>
      <w:r>
        <w:rPr>
          <w:rFonts w:hint="default" w:ascii="Times New Roman" w:hAnsi="Times New Roman" w:cs="Times New Roman"/>
          <w:sz w:val="18"/>
          <w:szCs w:val="18"/>
          <w:lang w:eastAsia="zh-CN"/>
        </w:rPr>
        <w:t>5× gDNA Eraser Mix 、5× RT MasterMix非常粘稠，溶液容易吸附在管壁和吸头外导致损失，用前请离心后再使用，并且避免试剂在吸头外壁沾附而造成大量损失。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4.请于使用前确保产品完全解冻，彻底混匀后短暂离心，置于冰上备用。反复冻融会影响产品的性能。 </w:t>
      </w:r>
    </w:p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5.为了您的安全和健康，请穿实验服并戴一次性手套操作。</w:t>
      </w:r>
    </w:p>
    <w:p>
      <w:pPr>
        <w:spacing w:line="240" w:lineRule="auto"/>
        <w:rPr>
          <w:rFonts w:hint="default" w:ascii="Times New Roman" w:hAnsi="Times New Roman" w:cs="Times New Roman"/>
          <w:sz w:val="16"/>
          <w:szCs w:val="16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实验流程</w:t>
      </w:r>
      <w:r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（以20 μL反应体系为例）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推荐的基因组DNA去除体系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 μL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体系添加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 gDNA Eraser Mix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ind w:left="0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Total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RNA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 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p to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10 μL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用移液器轻轻吹打混匀，37℃反应2min，立即置于冰上，或者继续55℃反应5min后置于冰上。（55℃反应5min能充分失活dsDNase，后续加入的5× RT Buffer中含有DTT也能抑制dsDNase的活性）</w:t>
      </w:r>
    </w:p>
    <w:p>
      <w:pPr>
        <w:widowControl/>
        <w:autoSpaceDE/>
        <w:autoSpaceDN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</w:p>
    <w:p>
      <w:pPr>
        <w:widowControl/>
        <w:autoSpaceDE/>
        <w:autoSpaceDN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配制第一链cDNA合成反应体系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μL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体系添加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上一步混合液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10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Oligo(dT)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VN Primer (50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μM)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 w:bidi="ar"/>
              </w:rPr>
              <w:t xml:space="preserve">/and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Random Primers </w:t>
            </w:r>
            <w:bookmarkStart w:id="0" w:name="OLE_LINK1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N6</w:t>
            </w:r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μM)*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 Gene Specific Primers (2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ind w:left="10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1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 RT Buffer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10× Enzyme Mix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4 μL</w:t>
            </w:r>
          </w:p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 w:bidi="ar"/>
              </w:rPr>
              <w:t xml:space="preserve">2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up to 20 μL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使用移液器轻轻吹打混匀。</w:t>
      </w: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*Oligo d(T)23 VN 与 Random Primers N6 同时使用效果更好</w:t>
      </w: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color w:val="0D7F7E"/>
          <w:sz w:val="15"/>
          <w:szCs w:val="15"/>
          <w:lang w:eastAsia="zh-CN"/>
        </w:rPr>
      </w:pP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  <w:lang w:eastAsia="zh-CN"/>
        </w:rPr>
        <w:t>如用Oligo(dT)</w:t>
      </w:r>
      <w:r>
        <w:rPr>
          <w:rFonts w:hint="default" w:ascii="Times New Roman" w:hAnsi="Times New Roman" w:cs="Times New Roman"/>
          <w:b/>
          <w:bCs/>
          <w:sz w:val="18"/>
          <w:szCs w:val="18"/>
          <w:vertAlign w:val="subscript"/>
          <w:lang w:eastAsia="zh-CN"/>
        </w:rPr>
        <w:t>23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 xml:space="preserve"> VN </w: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  <w:lang w:eastAsia="zh-CN"/>
        </w:rPr>
        <w:t>或基因特异引物(GSP)时，</w:t>
      </w: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按下列反应条件进行第一链cDNA合成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温度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孵育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42℃</w:t>
            </w:r>
            <w:r>
              <w:rPr>
                <w:rFonts w:hint="default" w:ascii="Times New Roman" w:hAnsi="Times New Roman" w:cs="Times New Roman"/>
                <w:b/>
                <w:bCs/>
                <w:color w:val="0D7F7E"/>
                <w:sz w:val="18"/>
                <w:szCs w:val="18"/>
              </w:rPr>
              <w:t>*</w:t>
            </w:r>
          </w:p>
          <w:p>
            <w:pPr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85℃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30 </w:t>
            </w:r>
            <w:bookmarkStart w:id="1" w:name="OLE_LINK2"/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~</w:t>
            </w:r>
            <w:bookmarkEnd w:id="1"/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 50 min（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如产物用于qPCR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，15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~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min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  <w:p>
            <w:pPr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 min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*如果模板具有复杂二级结构或高GC区域，可将反应温度提高到55℃，有助于提高产量。</w:t>
      </w: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color w:val="0D7F7E"/>
          <w:sz w:val="15"/>
          <w:szCs w:val="15"/>
          <w:lang w:eastAsia="zh-CN"/>
        </w:rPr>
      </w:pPr>
    </w:p>
    <w:p>
      <w:pPr>
        <w:spacing w:before="48" w:beforeLines="20" w:after="48" w:afterLines="2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  <w:lang w:eastAsia="zh-CN"/>
        </w:rPr>
        <w:t>如用Random Primers N6 时，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按下列反应条件进行第一链cDNA合成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温度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孵育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25℃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42℃</w:t>
            </w:r>
            <w:r>
              <w:rPr>
                <w:rFonts w:hint="default" w:ascii="Times New Roman" w:hAnsi="Times New Roman" w:cs="Times New Roman"/>
                <w:b/>
                <w:bCs/>
                <w:color w:val="0D7F7E"/>
                <w:sz w:val="18"/>
                <w:szCs w:val="18"/>
              </w:rPr>
              <w:t>*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85℃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 ~ 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30 ~ 50 min（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如产物用于qPCR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，15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~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min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 min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*如果模板具有复杂二级结构或高GC区域，可将反应温度提高到55℃，有助于提高产量。</w:t>
      </w:r>
    </w:p>
    <w:p>
      <w:pPr>
        <w:spacing w:line="24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line="240" w:lineRule="auto"/>
        <w:ind w:firstLine="270" w:firstLineChars="15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得到的cDNA产物可立即用于PCR或qPCR反应，或在-20℃保存，并在半年内使用，长期存放建议分装后在-80℃保存。做qPCR时，建议取1/10 ~ 1/5 体积(即2 ~ 4 μl)的反转录产物作为PCR模板。丰度高的可以酌情适当稀释cDNA后使用。cDNA应避免反复冻融。</w:t>
      </w:r>
    </w:p>
    <w:p>
      <w:pPr>
        <w:tabs>
          <w:tab w:val="left" w:pos="2496"/>
        </w:tabs>
        <w:spacing w:line="24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ECA307A"/>
    <w:rsid w:val="141E72D3"/>
    <w:rsid w:val="2A886554"/>
    <w:rsid w:val="4A326F1C"/>
    <w:rsid w:val="6A8B3FD6"/>
    <w:rsid w:val="79CA4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