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bookmarkStart w:id="0" w:name="OLE_LINK2"/>
      <w:bookmarkStart w:id="1" w:name="OLE_LINK1"/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SiDoTek™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Fast Pfu DNA polymerase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快速高保真DNA聚合酶</w:t>
      </w:r>
      <w:bookmarkEnd w:id="0"/>
      <w:bookmarkEnd w:id="1"/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目录号：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DMR1-2a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储存条件：-30 ~ -15℃保存2年，≤0℃运输</w:t>
      </w:r>
      <w:bookmarkStart w:id="2" w:name="_GoBack"/>
      <w:bookmarkEnd w:id="2"/>
    </w:p>
    <w:p>
      <w:pPr>
        <w:spacing w:line="240" w:lineRule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浓度：5U/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μ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L</w:t>
      </w: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0F7F7D"/>
          <w:sz w:val="20"/>
          <w:szCs w:val="20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产品内容：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2705"/>
        <w:gridCol w:w="25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43" w:type="pct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1587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DMR1-2a</w:t>
            </w:r>
          </w:p>
        </w:tc>
        <w:tc>
          <w:tcPr>
            <w:tcW w:w="1468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DMR1-3a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43" w:type="pct"/>
            <w:tcBorders>
              <w:bottom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  <w:t>×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HiFi Buffer（Mg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 xml:space="preserve">2+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free）</w:t>
            </w:r>
          </w:p>
        </w:tc>
        <w:tc>
          <w:tcPr>
            <w:tcW w:w="1587" w:type="pct"/>
            <w:tcBorders>
              <w:bottom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mL</w:t>
            </w:r>
          </w:p>
        </w:tc>
        <w:tc>
          <w:tcPr>
            <w:tcW w:w="1468" w:type="pct"/>
            <w:tcBorders>
              <w:bottom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43" w:type="pct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MgCl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（25mM）</w:t>
            </w:r>
          </w:p>
        </w:tc>
        <w:tc>
          <w:tcPr>
            <w:tcW w:w="1587" w:type="pct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mL</w:t>
            </w:r>
          </w:p>
        </w:tc>
        <w:tc>
          <w:tcPr>
            <w:tcW w:w="1468" w:type="pct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5×AA07-500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43" w:type="pct"/>
            <w:tcBorders>
              <w:top w:val="nil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ind w:firstLine="180" w:firstLineChars="10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Fast Pfu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DNA Polymerase（5U/μL）</w:t>
            </w:r>
          </w:p>
        </w:tc>
        <w:tc>
          <w:tcPr>
            <w:tcW w:w="1587" w:type="pct"/>
            <w:tcBorders>
              <w:top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 μL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8" w:type="pct"/>
            <w:tcBorders>
              <w:top w:val="nil"/>
            </w:tcBorders>
            <w:shd w:val="clear" w:color="auto" w:fill="FFFFFF" w:themeFill="background1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5×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大包装）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15"/>
          <w:szCs w:val="16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产品简介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普通Pfu聚合酶扩增能力差、延仲速度缓慢(0.5kb/min)、扩增产量低，给众多实验者带来不便。Fast Pfu DNA Polymerase是经基因工程改造获得的新一代高保真DNA聚合酶，用于快速PCR扩增。与Pfu酶相比，Fast Pfu DNA Polymerase在保持高保真性的同时，兼具有合成DNA速度快(2~3kb/min,是普通Pfu酶的4~6倍)，抗干扰能力强以及PCR产物的产量获得方面有较显著的提升。本产品适用于有高保真要求的PCR扩增反应，尤其在复杂模板扩增，平端克隆，基因定点突变，长片段扩增，全基因合成等方面具有优秀的表现。</w:t>
      </w:r>
    </w:p>
    <w:p>
      <w:pPr>
        <w:widowControl/>
        <w:spacing w:line="240" w:lineRule="auto"/>
        <w:rPr>
          <w:rFonts w:hint="default" w:ascii="Times New Roman" w:hAnsi="Times New Roman" w:cs="Times New Roman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en-US"/>
        </w:rPr>
        <w:t>产品特色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快速扩增:Fast Pfu Polymerase 扩增速度在72℃保温15秒即可延伸 1kb左右。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高灵敏度:对模板DNA需求量较普通Pfu酶低。可从0.05 ng人基因组DNA模板中扩增出1.2kb特定基因片段。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强扩增能力:以λDNA为模板，扩增长度可达12kb，能高效扩增≤6kb片段。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高保真性:具有与Pfu酶相同的保真度。</w:t>
      </w:r>
    </w:p>
    <w:p>
      <w:pPr>
        <w:widowControl/>
        <w:spacing w:line="240" w:lineRule="auto"/>
        <w:ind w:firstLine="0" w:firstLineChars="0"/>
        <w:rPr>
          <w:rFonts w:hint="default" w:ascii="Times New Roman" w:hAnsi="Times New Roman" w:cs="Times New Roman"/>
          <w:b/>
          <w:bCs/>
          <w:color w:val="0F7F7D"/>
          <w:sz w:val="24"/>
          <w:szCs w:val="24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应用范围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常规PCR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基因的高保真扩增、克隆和表达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基因的定点突变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细胞内基因突变分析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:lang w:eastAsia="zh-CN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活性定义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1单位(U) </w:t>
      </w:r>
      <w:r>
        <w:rPr>
          <w:rFonts w:hint="default" w:ascii="Times New Roman" w:hAnsi="Times New Roman" w:cs="Times New Roman"/>
          <w:sz w:val="18"/>
          <w:szCs w:val="18"/>
        </w:rPr>
        <w:t>Fast Pfu DNA Polymerase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活力定义为：在72℃ 30分钟内，将10 nmol 同位素标记的 4x dNTP 掺入到酸不溶物质中所需酶的量。</w:t>
      </w:r>
    </w:p>
    <w:p>
      <w:pPr>
        <w:pStyle w:val="2"/>
        <w:spacing w:line="240" w:lineRule="auto"/>
        <w:ind w:right="45"/>
        <w:jc w:val="both"/>
        <w:rPr>
          <w:rFonts w:hint="default" w:ascii="Times New Roman" w:hAnsi="Times New Roman" w:cs="Times New Roman"/>
          <w:kern w:val="2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酶贮存液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>20 mM Tris-HCl (pH8.0), 100 mM KCl, 0.1 mM EDTA, 1 mM DTT,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0.1%Tween-20(v/v), 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50% Glycerol(v/v)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,</w:t>
      </w:r>
      <w:r>
        <w:rPr>
          <w:rFonts w:hint="default" w:ascii="Times New Roman" w:hAnsi="Times New Roman" w:cs="Times New Roman"/>
          <w:sz w:val="18"/>
          <w:szCs w:val="18"/>
        </w:rPr>
        <w:t>Stabilizers。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8064A2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注意事项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1. 其扩增产物为平端可直接克隆于平端载体中，但不能直接用T/A克隆方式克隆。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2. 请于使用前确保产品完全解冻，彻底混匀后短暂离心，置于冰上备用，反复冻融会影响产品的性能。 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3. 为了您的安全和健康，请穿实验服并戴一次性手套操作。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使用建议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Fast Pfu DNA聚合酶产生的PCR产物为平滑末端，无3'端"A"突出，其PCR产物的克隆有两种方案: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1、PCR引物进行5'端加磷酸修饰或将PCR产物磷酸化处理后再直接克隆于平滑末端的载体中。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2、将产物3'末端加A后再与T载体连接。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由于Fast Pfu DNA聚合酶的校对活性可引起引物从3'端被部分降解。因此在设计引物时应适当增加引物的长度，理想的引物长度为20-30bp 碱基。另外为了减少由3'-5'外切酶活性引起的引物降解，尽量在冰上配制反应体系。</w:t>
      </w:r>
    </w:p>
    <w:p>
      <w:pPr>
        <w:widowControl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PCR反应液组成（50μL）</w:t>
      </w:r>
    </w:p>
    <w:tbl>
      <w:tblPr>
        <w:tblStyle w:val="5"/>
        <w:tblpPr w:leftFromText="180" w:rightFromText="180" w:vertAnchor="text" w:horzAnchor="page" w:tblpX="1798" w:tblpY="21"/>
        <w:tblOverlap w:val="never"/>
        <w:tblW w:w="472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3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09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试剂</w:t>
            </w:r>
          </w:p>
        </w:tc>
        <w:tc>
          <w:tcPr>
            <w:tcW w:w="1903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体积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096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Fast Pfu DNA Polymerase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 （5U/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μL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 ）</w:t>
            </w:r>
          </w:p>
        </w:tc>
        <w:tc>
          <w:tcPr>
            <w:tcW w:w="1903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0.5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096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10×HiFi Buffer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（Mg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2+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free）</w:t>
            </w:r>
          </w:p>
        </w:tc>
        <w:tc>
          <w:tcPr>
            <w:tcW w:w="1903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096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25 mM MgCl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 xml:space="preserve">2 </w:t>
            </w:r>
          </w:p>
        </w:tc>
        <w:tc>
          <w:tcPr>
            <w:tcW w:w="1903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 xml:space="preserve">X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096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dNTP (10mM)</w:t>
            </w:r>
          </w:p>
        </w:tc>
        <w:tc>
          <w:tcPr>
            <w:tcW w:w="1903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μL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096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正向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引物 (10μM)</w:t>
            </w:r>
          </w:p>
        </w:tc>
        <w:tc>
          <w:tcPr>
            <w:tcW w:w="1903" w:type="pct"/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1~2 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096" w:type="pct"/>
            <w:shd w:val="clear" w:color="auto" w:fill="FFFFFF" w:themeFill="background1"/>
            <w:noWrap/>
          </w:tcPr>
          <w:p>
            <w:pPr>
              <w:pStyle w:val="7"/>
              <w:spacing w:before="1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反向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引物 (10μM)</w:t>
            </w:r>
          </w:p>
        </w:tc>
        <w:tc>
          <w:tcPr>
            <w:tcW w:w="1903" w:type="pct"/>
            <w:shd w:val="clear" w:color="auto" w:fill="FFFFFF" w:themeFill="background1"/>
            <w:noWrap/>
          </w:tcPr>
          <w:p>
            <w:pPr>
              <w:pStyle w:val="7"/>
              <w:spacing w:before="18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1~2 μL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096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模板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DNA</w:t>
            </w:r>
          </w:p>
        </w:tc>
        <w:tc>
          <w:tcPr>
            <w:tcW w:w="1903" w:type="pct"/>
            <w:shd w:val="clear" w:color="auto" w:fill="FFFFFF" w:themeFill="background1"/>
            <w:noWrap/>
          </w:tcPr>
          <w:p>
            <w:pPr>
              <w:pStyle w:val="7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Y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ng</w:t>
            </w:r>
            <w:r>
              <w:rPr>
                <w:rFonts w:hint="default" w:ascii="Times New Roman" w:hAnsi="Times New Roman" w:cs="Times New Roman"/>
                <w:color w:val="00B05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096" w:type="pct"/>
            <w:tcBorders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Nase-Free Water</w:t>
            </w:r>
          </w:p>
        </w:tc>
        <w:tc>
          <w:tcPr>
            <w:tcW w:w="1903" w:type="pct"/>
            <w:tcBorders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7"/>
              <w:spacing w:before="16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u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p to 50 μL</w:t>
            </w:r>
          </w:p>
        </w:tc>
      </w:tr>
    </w:tbl>
    <w:p>
      <w:pPr>
        <w:widowControl/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 xml:space="preserve">*推荐引物终浓度为 0.2~0.4 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</w:rPr>
        <w:t>μ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M，效果不佳时也可在0.1~1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</w:rPr>
        <w:t>μ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 xml:space="preserve">M间进行调整。 </w:t>
      </w:r>
    </w:p>
    <w:p>
      <w:pPr>
        <w:widowControl/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*对于大多数PCR反应，Mg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vertAlign w:val="superscript"/>
          <w:lang w:eastAsia="zh-CN"/>
        </w:rPr>
        <w:t>2+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推荐浓度为1.5~2.5 mM；可用25 mM MgCl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vertAlign w:val="subscript"/>
          <w:lang w:eastAsia="zh-CN"/>
        </w:rPr>
        <w:t>2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以0.5 mM为间隔摸索Mg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vertAlign w:val="superscript"/>
          <w:lang w:eastAsia="zh-CN"/>
        </w:rPr>
        <w:t>2+</w:t>
      </w: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最佳使用浓度。</w:t>
      </w:r>
    </w:p>
    <w:p>
      <w:pPr>
        <w:widowControl/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*基因组DNA推荐用量为10~400ng，模板为质粒或病毒DNA时，推荐用量为10pg~20ng。</w:t>
      </w:r>
    </w:p>
    <w:p>
      <w:pPr>
        <w:widowControl/>
        <w:spacing w:line="240" w:lineRule="auto"/>
        <w:rPr>
          <w:rFonts w:hint="default" w:ascii="Times New Roman" w:hAnsi="Times New Roman" w:cs="Times New Roman"/>
          <w:b/>
          <w:bCs/>
          <w:color w:val="0D7F7E"/>
          <w:sz w:val="13"/>
          <w:szCs w:val="13"/>
          <w:lang w:eastAsia="zh-CN"/>
        </w:rPr>
      </w:pPr>
    </w:p>
    <w:p>
      <w:pPr>
        <w:spacing w:after="48" w:afterLines="20" w:line="240" w:lineRule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PCR反应条件</w:t>
      </w:r>
    </w:p>
    <w:tbl>
      <w:tblPr>
        <w:tblStyle w:val="8"/>
        <w:tblpPr w:leftFromText="180" w:rightFromText="180" w:vertAnchor="text" w:horzAnchor="page" w:tblpXSpec="center" w:tblpY="14"/>
        <w:tblOverlap w:val="never"/>
        <w:tblW w:w="906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2736"/>
        <w:gridCol w:w="33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29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spacing w:line="240" w:lineRule="auto"/>
              <w:ind w:left="20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95℃</w:t>
            </w:r>
          </w:p>
        </w:tc>
        <w:tc>
          <w:tcPr>
            <w:tcW w:w="27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spacing w:line="240" w:lineRule="auto"/>
              <w:ind w:left="873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3~5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min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预变性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2963" w:type="dxa"/>
            <w:tcBorders>
              <w:top w:val="single" w:color="auto" w:sz="4" w:space="0"/>
            </w:tcBorders>
          </w:tcPr>
          <w:p>
            <w:pPr>
              <w:pStyle w:val="7"/>
              <w:spacing w:line="240" w:lineRule="auto"/>
              <w:ind w:left="20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95℃</w:t>
            </w:r>
          </w:p>
        </w:tc>
        <w:tc>
          <w:tcPr>
            <w:tcW w:w="2736" w:type="dxa"/>
            <w:tcBorders>
              <w:top w:val="single" w:color="auto" w:sz="4" w:space="0"/>
            </w:tcBorders>
          </w:tcPr>
          <w:p>
            <w:pPr>
              <w:pStyle w:val="7"/>
              <w:spacing w:line="240" w:lineRule="auto"/>
              <w:ind w:left="87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 sec</w:t>
            </w:r>
          </w:p>
        </w:tc>
        <w:tc>
          <w:tcPr>
            <w:tcW w:w="3363" w:type="dxa"/>
            <w:tcBorders>
              <w:top w:val="single" w:color="auto" w:sz="4" w:space="0"/>
            </w:tcBorders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2963" w:type="dxa"/>
            <w:tcBorders>
              <w:bottom w:val="nil"/>
            </w:tcBorders>
          </w:tcPr>
          <w:p>
            <w:pPr>
              <w:pStyle w:val="7"/>
              <w:spacing w:before="43" w:line="240" w:lineRule="auto"/>
              <w:ind w:left="20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58℃</w:t>
            </w:r>
          </w:p>
        </w:tc>
        <w:tc>
          <w:tcPr>
            <w:tcW w:w="2736" w:type="dxa"/>
            <w:tcBorders>
              <w:bottom w:val="nil"/>
            </w:tcBorders>
          </w:tcPr>
          <w:p>
            <w:pPr>
              <w:pStyle w:val="7"/>
              <w:spacing w:before="43" w:line="240" w:lineRule="auto"/>
              <w:ind w:left="87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 sec</w:t>
            </w:r>
          </w:p>
        </w:tc>
        <w:tc>
          <w:tcPr>
            <w:tcW w:w="3363" w:type="dxa"/>
            <w:tcBorders>
              <w:bottom w:val="nil"/>
            </w:tcBorders>
          </w:tcPr>
          <w:p>
            <w:pPr>
              <w:pStyle w:val="7"/>
              <w:spacing w:line="240" w:lineRule="auto"/>
              <w:ind w:firstLine="1080" w:firstLineChars="6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30-35cycles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2963" w:type="dxa"/>
            <w:tcBorders>
              <w:top w:val="nil"/>
              <w:bottom w:val="single" w:color="auto" w:sz="4" w:space="0"/>
            </w:tcBorders>
          </w:tcPr>
          <w:p>
            <w:pPr>
              <w:pStyle w:val="7"/>
              <w:spacing w:before="58" w:line="240" w:lineRule="auto"/>
              <w:ind w:left="20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72℃</w:t>
            </w:r>
          </w:p>
        </w:tc>
        <w:tc>
          <w:tcPr>
            <w:tcW w:w="2736" w:type="dxa"/>
            <w:tcBorders>
              <w:top w:val="nil"/>
              <w:bottom w:val="single" w:color="auto" w:sz="4" w:space="0"/>
            </w:tcBorders>
          </w:tcPr>
          <w:p>
            <w:pPr>
              <w:pStyle w:val="7"/>
              <w:spacing w:before="25" w:line="240" w:lineRule="auto"/>
              <w:ind w:left="87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2~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3kb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min</w:t>
            </w:r>
          </w:p>
        </w:tc>
        <w:tc>
          <w:tcPr>
            <w:tcW w:w="3363" w:type="dxa"/>
            <w:tcBorders>
              <w:top w:val="nil"/>
              <w:bottom w:val="single" w:color="auto" w:sz="4" w:space="0"/>
            </w:tcBorders>
          </w:tcPr>
          <w:p>
            <w:pPr>
              <w:pStyle w:val="7"/>
              <w:spacing w:before="41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963" w:type="dxa"/>
            <w:tcBorders>
              <w:top w:val="single" w:color="auto" w:sz="4" w:space="0"/>
            </w:tcBorders>
          </w:tcPr>
          <w:p>
            <w:pPr>
              <w:pStyle w:val="7"/>
              <w:spacing w:before="41" w:line="240" w:lineRule="auto"/>
              <w:ind w:left="20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72℃</w:t>
            </w:r>
          </w:p>
        </w:tc>
        <w:tc>
          <w:tcPr>
            <w:tcW w:w="2736" w:type="dxa"/>
            <w:tcBorders>
              <w:top w:val="single" w:color="auto" w:sz="4" w:space="0"/>
            </w:tcBorders>
          </w:tcPr>
          <w:p>
            <w:pPr>
              <w:pStyle w:val="7"/>
              <w:spacing w:before="41" w:line="240" w:lineRule="auto"/>
              <w:ind w:left="87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 min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363" w:type="dxa"/>
            <w:tcBorders>
              <w:top w:val="single" w:color="auto" w:sz="4" w:space="0"/>
            </w:tcBorders>
          </w:tcPr>
          <w:p>
            <w:pPr>
              <w:pStyle w:val="7"/>
              <w:spacing w:line="240" w:lineRule="auto"/>
              <w:ind w:firstLine="1440" w:firstLineChars="8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终延伸</w:t>
            </w:r>
          </w:p>
        </w:tc>
      </w:tr>
    </w:tbl>
    <w:p>
      <w:pPr>
        <w:widowControl/>
        <w:spacing w:line="240" w:lineRule="auto"/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15"/>
          <w:szCs w:val="15"/>
          <w:lang w:eastAsia="zh-CN"/>
        </w:rPr>
        <w:t>* 退火温度需要根据引物的 Tm 值进行调整，一般设置成低于引物 Tm 3~5℃。</w:t>
      </w:r>
    </w:p>
    <w:p>
      <w:pPr>
        <w:spacing w:line="240" w:lineRule="auto"/>
        <w:rPr>
          <w:rFonts w:hint="default" w:ascii="Times New Roman" w:hAnsi="Times New Roman" w:cs="Times New Roman"/>
          <w:lang w:eastAsia="zh-CN"/>
        </w:rPr>
      </w:pPr>
    </w:p>
    <w:p>
      <w:pPr>
        <w:tabs>
          <w:tab w:val="left" w:pos="2496"/>
        </w:tabs>
        <w:spacing w:line="24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141E72D3"/>
    <w:rsid w:val="17EE430C"/>
    <w:rsid w:val="2A886554"/>
    <w:rsid w:val="3FA27597"/>
    <w:rsid w:val="4A435C41"/>
    <w:rsid w:val="6A8B3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2024-07-09T05:09:07Z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